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2B3" w:rsidRPr="004025AF" w:rsidRDefault="008E52B3" w:rsidP="00A168AF">
      <w:pPr>
        <w:spacing w:before="100" w:beforeAutospacing="1" w:after="100" w:afterAutospacing="1" w:line="240" w:lineRule="auto"/>
        <w:rPr>
          <w:rFonts w:ascii="Arial" w:eastAsia="Times New Roman" w:hAnsi="Arial" w:cs="Arial"/>
          <w:b/>
          <w:color w:val="000000"/>
          <w:sz w:val="24"/>
          <w:szCs w:val="24"/>
          <w:lang w:eastAsia="it-IT"/>
        </w:rPr>
      </w:pPr>
      <w:r w:rsidRPr="004025AF">
        <w:rPr>
          <w:rFonts w:ascii="Arial" w:eastAsia="Times New Roman" w:hAnsi="Arial" w:cs="Arial"/>
          <w:b/>
          <w:color w:val="000000"/>
          <w:sz w:val="24"/>
          <w:szCs w:val="24"/>
          <w:lang w:eastAsia="it-IT"/>
        </w:rPr>
        <w:t xml:space="preserve">Di Rossella </w:t>
      </w:r>
      <w:proofErr w:type="spellStart"/>
      <w:r w:rsidRPr="004025AF">
        <w:rPr>
          <w:rFonts w:ascii="Arial" w:eastAsia="Times New Roman" w:hAnsi="Arial" w:cs="Arial"/>
          <w:b/>
          <w:color w:val="000000"/>
          <w:sz w:val="24"/>
          <w:szCs w:val="24"/>
          <w:lang w:eastAsia="it-IT"/>
        </w:rPr>
        <w:t>Garetto</w:t>
      </w:r>
      <w:proofErr w:type="spellEnd"/>
      <w:r w:rsidRPr="004025AF">
        <w:rPr>
          <w:rFonts w:ascii="Arial" w:eastAsia="Times New Roman" w:hAnsi="Arial" w:cs="Arial"/>
          <w:b/>
          <w:color w:val="000000"/>
          <w:sz w:val="24"/>
          <w:szCs w:val="24"/>
          <w:lang w:eastAsia="it-IT"/>
        </w:rPr>
        <w:t xml:space="preserve"> (</w:t>
      </w:r>
      <w:hyperlink r:id="rId5" w:history="1">
        <w:r w:rsidRPr="004025AF">
          <w:rPr>
            <w:rStyle w:val="Collegamentoipertestuale"/>
            <w:rFonts w:ascii="Arial" w:eastAsia="Times New Roman" w:hAnsi="Arial" w:cs="Arial"/>
            <w:b/>
            <w:color w:val="auto"/>
            <w:sz w:val="24"/>
            <w:szCs w:val="24"/>
            <w:u w:val="none"/>
            <w:lang w:eastAsia="it-IT"/>
          </w:rPr>
          <w:t>rossellagaretto@fastwebnet.it</w:t>
        </w:r>
      </w:hyperlink>
      <w:r w:rsidRPr="004025AF">
        <w:rPr>
          <w:rFonts w:ascii="Arial" w:eastAsia="Times New Roman" w:hAnsi="Arial" w:cs="Arial"/>
          <w:b/>
          <w:color w:val="000000"/>
          <w:sz w:val="24"/>
          <w:szCs w:val="24"/>
          <w:lang w:eastAsia="it-IT"/>
        </w:rPr>
        <w:t>)</w:t>
      </w:r>
    </w:p>
    <w:p w:rsidR="008E52B3" w:rsidRPr="004025AF" w:rsidRDefault="008E52B3" w:rsidP="00A168AF">
      <w:pPr>
        <w:spacing w:before="100" w:beforeAutospacing="1" w:after="100" w:afterAutospacing="1" w:line="240" w:lineRule="auto"/>
        <w:rPr>
          <w:rFonts w:ascii="Arial" w:eastAsia="Times New Roman" w:hAnsi="Arial" w:cs="Arial"/>
          <w:b/>
          <w:color w:val="000000"/>
          <w:sz w:val="24"/>
          <w:szCs w:val="24"/>
          <w:lang w:eastAsia="it-IT"/>
        </w:rPr>
      </w:pPr>
      <w:r w:rsidRPr="004025AF">
        <w:rPr>
          <w:rFonts w:ascii="Arial" w:eastAsia="Times New Roman" w:hAnsi="Arial" w:cs="Arial"/>
          <w:b/>
          <w:color w:val="000000"/>
          <w:sz w:val="24"/>
          <w:szCs w:val="24"/>
          <w:lang w:eastAsia="it-IT"/>
        </w:rPr>
        <w:t xml:space="preserve">LE CARATTERISTICHE DELLA RICERCA BASATA SULLO STUDIO </w:t>
      </w:r>
      <w:proofErr w:type="spellStart"/>
      <w:r w:rsidRPr="004025AF">
        <w:rPr>
          <w:rFonts w:ascii="Arial" w:eastAsia="Times New Roman" w:hAnsi="Arial" w:cs="Arial"/>
          <w:b/>
          <w:color w:val="000000"/>
          <w:sz w:val="24"/>
          <w:szCs w:val="24"/>
          <w:lang w:eastAsia="it-IT"/>
        </w:rPr>
        <w:t>DI</w:t>
      </w:r>
      <w:proofErr w:type="spellEnd"/>
      <w:r w:rsidRPr="004025AF">
        <w:rPr>
          <w:rFonts w:ascii="Arial" w:eastAsia="Times New Roman" w:hAnsi="Arial" w:cs="Arial"/>
          <w:b/>
          <w:color w:val="000000"/>
          <w:sz w:val="24"/>
          <w:szCs w:val="24"/>
          <w:lang w:eastAsia="it-IT"/>
        </w:rPr>
        <w:t xml:space="preserve"> CASO</w:t>
      </w:r>
    </w:p>
    <w:p w:rsidR="00A168AF" w:rsidRPr="00A168AF" w:rsidRDefault="00A168AF" w:rsidP="00A168AF">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168AF">
        <w:rPr>
          <w:rFonts w:ascii="Arial" w:eastAsia="Times New Roman" w:hAnsi="Arial" w:cs="Arial"/>
          <w:color w:val="000000"/>
          <w:sz w:val="24"/>
          <w:szCs w:val="24"/>
          <w:lang w:eastAsia="it-IT"/>
        </w:rPr>
        <w:t>Il termine "studio di caso" può assumere diversi significati in relazione al contesto di ricerca in cui viene utilizzato, in qualche modo è un termine "ombrello" che solitamente viene utilizzato per indicare un insieme di metodi di ricerca che hanno in comune la decisione di focalizzare l'indagine su una o più situazioni che il ricercatore considera esemplare o comunque indicative di un "insieme" più ampio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"Adelman C., Kemmis S., Jenkins D."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Adelman</w:t>
      </w:r>
      <w:proofErr w:type="spellEnd"/>
      <w:r w:rsidRPr="008E52B3">
        <w:rPr>
          <w:rFonts w:ascii="Arial" w:eastAsia="Times New Roman" w:hAnsi="Arial" w:cs="Arial"/>
          <w:color w:val="0000FF"/>
          <w:sz w:val="24"/>
          <w:szCs w:val="24"/>
          <w:u w:val="single"/>
          <w:lang w:eastAsia="it-IT"/>
        </w:rPr>
        <w:t xml:space="preserve">, </w:t>
      </w:r>
      <w:proofErr w:type="spellStart"/>
      <w:r w:rsidRPr="008E52B3">
        <w:rPr>
          <w:rFonts w:ascii="Arial" w:eastAsia="Times New Roman" w:hAnsi="Arial" w:cs="Arial"/>
          <w:color w:val="0000FF"/>
          <w:sz w:val="24"/>
          <w:szCs w:val="24"/>
          <w:u w:val="single"/>
          <w:lang w:eastAsia="it-IT"/>
        </w:rPr>
        <w:t>Kemmis</w:t>
      </w:r>
      <w:proofErr w:type="spellEnd"/>
      <w:r w:rsidRPr="008E52B3">
        <w:rPr>
          <w:rFonts w:ascii="Arial" w:eastAsia="Times New Roman" w:hAnsi="Arial" w:cs="Arial"/>
          <w:color w:val="0000FF"/>
          <w:sz w:val="24"/>
          <w:szCs w:val="24"/>
          <w:u w:val="single"/>
          <w:lang w:eastAsia="it-IT"/>
        </w:rPr>
        <w:t xml:space="preserve">, </w:t>
      </w:r>
      <w:proofErr w:type="spellStart"/>
      <w:r w:rsidRPr="008E52B3">
        <w:rPr>
          <w:rFonts w:ascii="Arial" w:eastAsia="Times New Roman" w:hAnsi="Arial" w:cs="Arial"/>
          <w:color w:val="0000FF"/>
          <w:sz w:val="24"/>
          <w:szCs w:val="24"/>
          <w:u w:val="single"/>
          <w:lang w:eastAsia="it-IT"/>
        </w:rPr>
        <w:t>Jenkins</w:t>
      </w:r>
      <w:proofErr w:type="spellEnd"/>
      <w:r w:rsidRPr="008E52B3">
        <w:rPr>
          <w:rFonts w:ascii="Arial" w:eastAsia="Times New Roman" w:hAnsi="Arial" w:cs="Arial"/>
          <w:color w:val="0000FF"/>
          <w:sz w:val="24"/>
          <w:szCs w:val="24"/>
          <w:u w:val="single"/>
          <w:lang w:eastAsia="it-IT"/>
        </w:rPr>
        <w:t xml:space="preserve"> 1980</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 "Esemplare" appunto, ma non "rappresentativo" dell’intero insieme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"Stenhouse L. (1979)"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Stenhouse</w:t>
      </w:r>
      <w:proofErr w:type="spellEnd"/>
      <w:r w:rsidRPr="008E52B3">
        <w:rPr>
          <w:rFonts w:ascii="Arial" w:eastAsia="Times New Roman" w:hAnsi="Arial" w:cs="Arial"/>
          <w:color w:val="0000FF"/>
          <w:sz w:val="24"/>
          <w:szCs w:val="24"/>
          <w:u w:val="single"/>
          <w:lang w:eastAsia="it-IT"/>
        </w:rPr>
        <w:t xml:space="preserve"> 1979</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 E' il ricercatore stesso che ‘crea’ il caso, individuandolo come tale e trasformando progressivamente, attraverso l'indagine, l'oggetto indagato in oggetto di comprensione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"Kemmis S."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Kemmis</w:t>
      </w:r>
      <w:proofErr w:type="spellEnd"/>
      <w:r w:rsidRPr="008E52B3">
        <w:rPr>
          <w:rFonts w:ascii="Arial" w:eastAsia="Times New Roman" w:hAnsi="Arial" w:cs="Arial"/>
          <w:color w:val="0000FF"/>
          <w:sz w:val="24"/>
          <w:szCs w:val="24"/>
          <w:u w:val="single"/>
          <w:lang w:eastAsia="it-IT"/>
        </w:rPr>
        <w:t xml:space="preserve"> 1980</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w:t>
      </w:r>
      <w:r w:rsidRPr="00A168AF">
        <w:rPr>
          <w:rFonts w:ascii="Arial" w:eastAsia="Times New Roman" w:hAnsi="Arial" w:cs="Arial"/>
          <w:color w:val="000000"/>
          <w:sz w:val="24"/>
          <w:szCs w:val="24"/>
          <w:lang w:eastAsia="it-IT"/>
        </w:rPr>
        <w:br/>
        <w:t>E' lo studio che definisce il "caso", che ne chiarisce le circostanze storiche e contestuali. Le conclusioni cui uno studio di caso arriva sono legate al contesto particolare, non sono di per sé generalizzabili, vanno piuttosto considerati come "verità provvisorie", senza pretese di definitività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"Kemmis S."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Kemmis</w:t>
      </w:r>
      <w:proofErr w:type="spellEnd"/>
      <w:r w:rsidRPr="008E52B3">
        <w:rPr>
          <w:rFonts w:ascii="Arial" w:eastAsia="Times New Roman" w:hAnsi="Arial" w:cs="Arial"/>
          <w:color w:val="0000FF"/>
          <w:sz w:val="24"/>
          <w:szCs w:val="24"/>
          <w:u w:val="single"/>
          <w:lang w:eastAsia="it-IT"/>
        </w:rPr>
        <w:t xml:space="preserve"> 1980</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w:t>
      </w:r>
    </w:p>
    <w:p w:rsidR="00A168AF" w:rsidRPr="00A168AF" w:rsidRDefault="00A168AF" w:rsidP="00A168AF">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168AF">
        <w:rPr>
          <w:rFonts w:ascii="Arial" w:eastAsia="Times New Roman" w:hAnsi="Arial" w:cs="Arial"/>
          <w:color w:val="000000"/>
          <w:sz w:val="24"/>
          <w:szCs w:val="24"/>
          <w:lang w:eastAsia="it-IT"/>
        </w:rPr>
        <w:t xml:space="preserve">In questo tipo di impostazione diventa di importanza centrale il fatto che il ricercatore-valutatore "espliciti" e "giustifichi" le proprie scelte metodologiche, argomenti le proprie interpretazioni, fornisca al lettore tutti gli elementi non soltanto per capire l’origine delle valutazioni espresse, ma soprattutto per poter mettere in discussione queste stesse valutazioni. Tutto ciò deve essere "comunicato" in modo comprensibile per chi legge il rapporto di uno studio di caso ( </w:t>
      </w:r>
      <w:hyperlink r:id="rId6" w:anchor="Elliott J." w:tgtFrame="pagina" w:history="1">
        <w:r w:rsidRPr="008E52B3">
          <w:rPr>
            <w:rFonts w:ascii="Arial" w:eastAsia="Times New Roman" w:hAnsi="Arial" w:cs="Arial"/>
            <w:color w:val="0000FF"/>
            <w:sz w:val="24"/>
            <w:szCs w:val="24"/>
            <w:u w:val="single"/>
            <w:lang w:eastAsia="it-IT"/>
          </w:rPr>
          <w:t>Elliott 1989</w:t>
        </w:r>
      </w:hyperlink>
      <w:r w:rsidRPr="00A168AF">
        <w:rPr>
          <w:rFonts w:ascii="Arial" w:eastAsia="Times New Roman" w:hAnsi="Arial" w:cs="Arial"/>
          <w:color w:val="000000"/>
          <w:sz w:val="24"/>
          <w:szCs w:val="24"/>
          <w:lang w:eastAsia="it-IT"/>
        </w:rPr>
        <w:t xml:space="preserve">, </w:t>
      </w:r>
      <w:hyperlink r:id="rId7" w:anchor="Losito B." w:tgtFrame="pagina" w:history="1">
        <w:proofErr w:type="spellStart"/>
        <w:r w:rsidRPr="008E52B3">
          <w:rPr>
            <w:rFonts w:ascii="Arial" w:eastAsia="Times New Roman" w:hAnsi="Arial" w:cs="Arial"/>
            <w:color w:val="0000FF"/>
            <w:sz w:val="24"/>
            <w:szCs w:val="24"/>
            <w:u w:val="single"/>
            <w:lang w:eastAsia="it-IT"/>
          </w:rPr>
          <w:t>Losito</w:t>
        </w:r>
        <w:proofErr w:type="spellEnd"/>
        <w:r w:rsidRPr="008E52B3">
          <w:rPr>
            <w:rFonts w:ascii="Arial" w:eastAsia="Times New Roman" w:hAnsi="Arial" w:cs="Arial"/>
            <w:color w:val="0000FF"/>
            <w:sz w:val="24"/>
            <w:szCs w:val="24"/>
            <w:u w:val="single"/>
            <w:lang w:eastAsia="it-IT"/>
          </w:rPr>
          <w:t xml:space="preserve"> 1993</w:t>
        </w:r>
      </w:hyperlink>
      <w:r w:rsidRPr="00A168AF">
        <w:rPr>
          <w:rFonts w:ascii="Arial" w:eastAsia="Times New Roman" w:hAnsi="Arial" w:cs="Arial"/>
          <w:color w:val="000000"/>
          <w:sz w:val="24"/>
          <w:szCs w:val="24"/>
          <w:lang w:eastAsia="it-IT"/>
        </w:rPr>
        <w:t>).</w:t>
      </w:r>
      <w:r w:rsidRPr="00A168AF">
        <w:rPr>
          <w:rFonts w:ascii="Arial" w:eastAsia="Times New Roman" w:hAnsi="Arial" w:cs="Arial"/>
          <w:color w:val="000000"/>
          <w:sz w:val="24"/>
          <w:szCs w:val="24"/>
          <w:lang w:eastAsia="it-IT"/>
        </w:rPr>
        <w:br/>
        <w:t>In ambito educativo, gli studi di caso sono stati utilizzati in modo particolare per studiare programmi e iniziative di innovazione su</w:t>
      </w:r>
      <w:r w:rsidR="009B1485">
        <w:rPr>
          <w:rFonts w:ascii="Arial" w:eastAsia="Times New Roman" w:hAnsi="Arial" w:cs="Arial"/>
          <w:color w:val="000000"/>
          <w:sz w:val="24"/>
          <w:szCs w:val="24"/>
          <w:lang w:eastAsia="it-IT"/>
        </w:rPr>
        <w:t>l piano curricolare, rispetto al quale</w:t>
      </w:r>
      <w:r w:rsidRPr="00A168AF">
        <w:rPr>
          <w:rFonts w:ascii="Arial" w:eastAsia="Times New Roman" w:hAnsi="Arial" w:cs="Arial"/>
          <w:color w:val="000000"/>
          <w:sz w:val="24"/>
          <w:szCs w:val="24"/>
          <w:lang w:eastAsia="it-IT"/>
        </w:rPr>
        <w:t xml:space="preserve"> è necessario tenere conto di situazioni complesse, determinate da molteplici fattori e fortemente dipendenti dal contesto specifico all’interno del quale si sviluppano.</w:t>
      </w:r>
      <w:r w:rsidRPr="00A168AF">
        <w:rPr>
          <w:rFonts w:ascii="Arial" w:eastAsia="Times New Roman" w:hAnsi="Arial" w:cs="Arial"/>
          <w:color w:val="000000"/>
          <w:sz w:val="24"/>
          <w:szCs w:val="24"/>
          <w:lang w:eastAsia="it-IT"/>
        </w:rPr>
        <w:br/>
        <w:t xml:space="preserve">L. </w:t>
      </w:r>
      <w:proofErr w:type="spellStart"/>
      <w:r w:rsidRPr="00A168AF">
        <w:rPr>
          <w:rFonts w:ascii="Arial" w:eastAsia="Times New Roman" w:hAnsi="Arial" w:cs="Arial"/>
          <w:color w:val="000000"/>
          <w:sz w:val="24"/>
          <w:szCs w:val="24"/>
          <w:lang w:eastAsia="it-IT"/>
        </w:rPr>
        <w:t>Stenhouse</w:t>
      </w:r>
      <w:proofErr w:type="spellEnd"/>
      <w:r w:rsidRPr="00A168AF">
        <w:rPr>
          <w:rFonts w:ascii="Arial" w:eastAsia="Times New Roman" w:hAnsi="Arial" w:cs="Arial"/>
          <w:color w:val="000000"/>
          <w:sz w:val="24"/>
          <w:szCs w:val="24"/>
          <w:lang w:eastAsia="it-IT"/>
        </w:rPr>
        <w:t xml:space="preserve"> individua quattro diverse tipologie di studio di caso nell'ambito della ricerca educativa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"Stenhouse L. (1985)"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Stenhouse</w:t>
      </w:r>
      <w:proofErr w:type="spellEnd"/>
      <w:r w:rsidRPr="008E52B3">
        <w:rPr>
          <w:rFonts w:ascii="Arial" w:eastAsia="Times New Roman" w:hAnsi="Arial" w:cs="Arial"/>
          <w:color w:val="0000FF"/>
          <w:sz w:val="24"/>
          <w:szCs w:val="24"/>
          <w:u w:val="single"/>
          <w:lang w:eastAsia="it-IT"/>
        </w:rPr>
        <w:t xml:space="preserve"> 1985</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w:t>
      </w:r>
      <w:r w:rsidRPr="00A168AF">
        <w:rPr>
          <w:rFonts w:ascii="Times New Roman" w:eastAsia="Times New Roman" w:hAnsi="Times New Roman" w:cs="Times New Roman"/>
          <w:color w:val="000000"/>
          <w:sz w:val="24"/>
          <w:szCs w:val="24"/>
          <w:lang w:eastAsia="it-IT"/>
        </w:rPr>
        <w:t xml:space="preserve"> </w:t>
      </w:r>
    </w:p>
    <w:p w:rsidR="00A168AF" w:rsidRPr="00A168AF" w:rsidRDefault="009B1485" w:rsidP="00A168A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Arial" w:eastAsia="Times New Roman" w:hAnsi="Arial" w:cs="Arial"/>
          <w:color w:val="000000"/>
          <w:sz w:val="24"/>
          <w:szCs w:val="24"/>
          <w:lang w:eastAsia="it-IT"/>
        </w:rPr>
        <w:t>E</w:t>
      </w:r>
      <w:r w:rsidR="00A168AF" w:rsidRPr="00A168AF">
        <w:rPr>
          <w:rFonts w:ascii="Arial" w:eastAsia="Times New Roman" w:hAnsi="Arial" w:cs="Arial"/>
          <w:color w:val="000000"/>
          <w:sz w:val="24"/>
          <w:szCs w:val="24"/>
          <w:lang w:eastAsia="it-IT"/>
        </w:rPr>
        <w:t>tnografico (studio di un singolo caso in profondità attraverso l'osservazione partecipante e non necessariamente con finalità di tipo pratico)</w:t>
      </w:r>
      <w:r w:rsidR="00A168AF" w:rsidRPr="00A168AF">
        <w:rPr>
          <w:rFonts w:ascii="Times New Roman" w:eastAsia="Times New Roman" w:hAnsi="Times New Roman" w:cs="Times New Roman"/>
          <w:color w:val="000000"/>
          <w:sz w:val="24"/>
          <w:szCs w:val="24"/>
          <w:lang w:eastAsia="it-IT"/>
        </w:rPr>
        <w:t xml:space="preserve"> </w:t>
      </w:r>
    </w:p>
    <w:p w:rsidR="00A168AF" w:rsidRPr="00A168AF" w:rsidRDefault="009B1485" w:rsidP="00A168A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Arial" w:eastAsia="Times New Roman" w:hAnsi="Arial" w:cs="Arial"/>
          <w:color w:val="000000"/>
          <w:sz w:val="24"/>
          <w:szCs w:val="24"/>
          <w:lang w:eastAsia="it-IT"/>
        </w:rPr>
        <w:t>V</w:t>
      </w:r>
      <w:r w:rsidR="00A168AF" w:rsidRPr="00A168AF">
        <w:rPr>
          <w:rFonts w:ascii="Arial" w:eastAsia="Times New Roman" w:hAnsi="Arial" w:cs="Arial"/>
          <w:color w:val="000000"/>
          <w:sz w:val="24"/>
          <w:szCs w:val="24"/>
          <w:lang w:eastAsia="it-IT"/>
        </w:rPr>
        <w:t xml:space="preserve">alutativo (con lo scopo di fornire informazioni utili per giudicare della validità e </w:t>
      </w:r>
      <w:proofErr w:type="gramStart"/>
      <w:r w:rsidR="00A168AF" w:rsidRPr="00A168AF">
        <w:rPr>
          <w:rFonts w:ascii="Arial" w:eastAsia="Times New Roman" w:hAnsi="Arial" w:cs="Arial"/>
          <w:color w:val="000000"/>
          <w:sz w:val="24"/>
          <w:szCs w:val="24"/>
          <w:lang w:eastAsia="it-IT"/>
        </w:rPr>
        <w:t xml:space="preserve">della </w:t>
      </w:r>
      <w:proofErr w:type="gramEnd"/>
      <w:r w:rsidR="00A168AF" w:rsidRPr="00A168AF">
        <w:rPr>
          <w:rFonts w:ascii="Arial" w:eastAsia="Times New Roman" w:hAnsi="Arial" w:cs="Arial"/>
          <w:color w:val="000000"/>
          <w:sz w:val="24"/>
          <w:szCs w:val="24"/>
          <w:lang w:eastAsia="it-IT"/>
        </w:rPr>
        <w:t>efficacia di programmi, politiche, innovazioni in campo educativo e scolastico)</w:t>
      </w:r>
      <w:r w:rsidR="00A168AF" w:rsidRPr="00A168AF">
        <w:rPr>
          <w:rFonts w:ascii="Times New Roman" w:eastAsia="Times New Roman" w:hAnsi="Times New Roman" w:cs="Times New Roman"/>
          <w:color w:val="000000"/>
          <w:sz w:val="24"/>
          <w:szCs w:val="24"/>
          <w:lang w:eastAsia="it-IT"/>
        </w:rPr>
        <w:t xml:space="preserve"> </w:t>
      </w:r>
    </w:p>
    <w:p w:rsidR="00A168AF" w:rsidRPr="00A168AF" w:rsidRDefault="009B1485" w:rsidP="00A168A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Arial" w:eastAsia="Times New Roman" w:hAnsi="Arial" w:cs="Arial"/>
          <w:color w:val="000000"/>
          <w:sz w:val="24"/>
          <w:szCs w:val="24"/>
          <w:lang w:eastAsia="it-IT"/>
        </w:rPr>
        <w:t>E</w:t>
      </w:r>
      <w:r w:rsidR="00A168AF" w:rsidRPr="00A168AF">
        <w:rPr>
          <w:rFonts w:ascii="Arial" w:eastAsia="Times New Roman" w:hAnsi="Arial" w:cs="Arial"/>
          <w:color w:val="000000"/>
          <w:sz w:val="24"/>
          <w:szCs w:val="24"/>
          <w:lang w:eastAsia="it-IT"/>
        </w:rPr>
        <w:t>ducativo (con lo scopo di documentare sistematicamente l'azione educativa</w:t>
      </w:r>
      <w:proofErr w:type="gramStart"/>
      <w:r w:rsidR="00A168AF" w:rsidRPr="00A168AF">
        <w:rPr>
          <w:rFonts w:ascii="Arial" w:eastAsia="Times New Roman" w:hAnsi="Arial" w:cs="Arial"/>
          <w:color w:val="000000"/>
          <w:sz w:val="24"/>
          <w:szCs w:val="24"/>
          <w:lang w:eastAsia="it-IT"/>
        </w:rPr>
        <w:t>)</w:t>
      </w:r>
      <w:proofErr w:type="gramEnd"/>
      <w:r w:rsidR="00A168AF" w:rsidRPr="00A168AF">
        <w:rPr>
          <w:rFonts w:ascii="Times New Roman" w:eastAsia="Times New Roman" w:hAnsi="Times New Roman" w:cs="Times New Roman"/>
          <w:color w:val="000000"/>
          <w:sz w:val="24"/>
          <w:szCs w:val="24"/>
          <w:lang w:eastAsia="it-IT"/>
        </w:rPr>
        <w:t xml:space="preserve"> </w:t>
      </w:r>
    </w:p>
    <w:p w:rsidR="00A168AF" w:rsidRPr="00A168AF" w:rsidRDefault="009B1485" w:rsidP="00A168A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Arial" w:eastAsia="Times New Roman" w:hAnsi="Arial" w:cs="Arial"/>
          <w:color w:val="000000"/>
          <w:sz w:val="24"/>
          <w:szCs w:val="24"/>
          <w:lang w:eastAsia="it-IT"/>
        </w:rPr>
        <w:t>S</w:t>
      </w:r>
      <w:r w:rsidR="00A168AF" w:rsidRPr="00A168AF">
        <w:rPr>
          <w:rFonts w:ascii="Arial" w:eastAsia="Times New Roman" w:hAnsi="Arial" w:cs="Arial"/>
          <w:color w:val="000000"/>
          <w:sz w:val="24"/>
          <w:szCs w:val="24"/>
          <w:lang w:eastAsia="it-IT"/>
        </w:rPr>
        <w:t xml:space="preserve">tudio di caso nella ricerca azione (le informazioni guidano l'affinamento </w:t>
      </w:r>
      <w:proofErr w:type="gramStart"/>
      <w:r w:rsidR="00A168AF" w:rsidRPr="00A168AF">
        <w:rPr>
          <w:rFonts w:ascii="Arial" w:eastAsia="Times New Roman" w:hAnsi="Arial" w:cs="Arial"/>
          <w:color w:val="000000"/>
          <w:sz w:val="24"/>
          <w:szCs w:val="24"/>
          <w:lang w:eastAsia="it-IT"/>
        </w:rPr>
        <w:t xml:space="preserve">della </w:t>
      </w:r>
      <w:proofErr w:type="gramEnd"/>
      <w:r w:rsidR="00A168AF" w:rsidRPr="00A168AF">
        <w:rPr>
          <w:rFonts w:ascii="Arial" w:eastAsia="Times New Roman" w:hAnsi="Arial" w:cs="Arial"/>
          <w:color w:val="000000"/>
          <w:sz w:val="24"/>
          <w:szCs w:val="24"/>
          <w:lang w:eastAsia="it-IT"/>
        </w:rPr>
        <w:t>azione dei "</w:t>
      </w:r>
      <w:proofErr w:type="spellStart"/>
      <w:r w:rsidR="00A168AF" w:rsidRPr="00A168AF">
        <w:rPr>
          <w:rFonts w:ascii="Arial" w:eastAsia="Times New Roman" w:hAnsi="Arial" w:cs="Arial"/>
          <w:color w:val="000000"/>
          <w:sz w:val="24"/>
          <w:szCs w:val="24"/>
          <w:lang w:eastAsia="it-IT"/>
        </w:rPr>
        <w:t>practitioners</w:t>
      </w:r>
      <w:proofErr w:type="spellEnd"/>
      <w:r w:rsidR="00A168AF" w:rsidRPr="00A168AF">
        <w:rPr>
          <w:rFonts w:ascii="Arial" w:eastAsia="Times New Roman" w:hAnsi="Arial" w:cs="Arial"/>
          <w:color w:val="000000"/>
          <w:sz w:val="24"/>
          <w:szCs w:val="24"/>
          <w:lang w:eastAsia="it-IT"/>
        </w:rPr>
        <w:t>", che sono coinvolti in prima persona nella definizione del piano di ricerca e nella raccolta dei dati. Gli obiettivi che si perseguono sono eminentemente pratici</w:t>
      </w:r>
      <w:proofErr w:type="gramStart"/>
      <w:r w:rsidR="00A168AF" w:rsidRPr="00A168AF">
        <w:rPr>
          <w:rFonts w:ascii="Arial" w:eastAsia="Times New Roman" w:hAnsi="Arial" w:cs="Arial"/>
          <w:color w:val="000000"/>
          <w:sz w:val="24"/>
          <w:szCs w:val="24"/>
          <w:lang w:eastAsia="it-IT"/>
        </w:rPr>
        <w:t>)</w:t>
      </w:r>
      <w:r>
        <w:rPr>
          <w:rFonts w:ascii="Arial" w:eastAsia="Times New Roman" w:hAnsi="Arial" w:cs="Arial"/>
          <w:color w:val="000000"/>
          <w:sz w:val="24"/>
          <w:szCs w:val="24"/>
          <w:lang w:eastAsia="it-IT"/>
        </w:rPr>
        <w:t>.</w:t>
      </w:r>
      <w:proofErr w:type="gramEnd"/>
    </w:p>
    <w:p w:rsidR="00796D2D" w:rsidRDefault="00A168AF" w:rsidP="00471C11">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A168AF">
        <w:rPr>
          <w:rFonts w:ascii="Arial" w:eastAsia="Times New Roman" w:hAnsi="Arial" w:cs="Arial"/>
          <w:color w:val="000000"/>
          <w:sz w:val="24"/>
          <w:szCs w:val="24"/>
          <w:lang w:eastAsia="it-IT"/>
        </w:rPr>
        <w:t xml:space="preserve">Anche se una dimensione di tipo valutativo è implicita in ciascuno dei tipi di studio di caso individuati da </w:t>
      </w:r>
      <w:proofErr w:type="spellStart"/>
      <w:r w:rsidRPr="00A168AF">
        <w:rPr>
          <w:rFonts w:ascii="Arial" w:eastAsia="Times New Roman" w:hAnsi="Arial" w:cs="Arial"/>
          <w:color w:val="000000"/>
          <w:sz w:val="24"/>
          <w:szCs w:val="24"/>
          <w:lang w:eastAsia="it-IT"/>
        </w:rPr>
        <w:t>Stenhouse</w:t>
      </w:r>
      <w:proofErr w:type="spellEnd"/>
      <w:r w:rsidRPr="00A168AF">
        <w:rPr>
          <w:rFonts w:ascii="Arial" w:eastAsia="Times New Roman" w:hAnsi="Arial" w:cs="Arial"/>
          <w:color w:val="000000"/>
          <w:sz w:val="24"/>
          <w:szCs w:val="24"/>
          <w:lang w:eastAsia="it-IT"/>
        </w:rPr>
        <w:t>, non tutti gli studi di caso sono "valutazioni". E' vero piuttosto il contrario. E cioè che tutte le "valutazioni" sono "studi di caso". Il programma, il progetto, la persona o la struttura che vengono valutate sono il "caso" (</w:t>
      </w:r>
      <w:proofErr w:type="spellStart"/>
      <w:r w:rsidR="00E02C8D" w:rsidRPr="00A168AF">
        <w:rPr>
          <w:rFonts w:ascii="Arial" w:eastAsia="Times New Roman" w:hAnsi="Arial" w:cs="Arial"/>
          <w:color w:val="000000"/>
          <w:sz w:val="24"/>
          <w:szCs w:val="24"/>
          <w:lang w:eastAsia="it-IT"/>
        </w:rPr>
        <w:fldChar w:fldCharType="begin"/>
      </w:r>
      <w:r w:rsidRPr="00A168AF">
        <w:rPr>
          <w:rFonts w:ascii="Arial" w:eastAsia="Times New Roman" w:hAnsi="Arial" w:cs="Arial"/>
          <w:color w:val="000000"/>
          <w:sz w:val="24"/>
          <w:szCs w:val="24"/>
          <w:lang w:eastAsia="it-IT"/>
        </w:rPr>
        <w:instrText xml:space="preserve"> HYPERLINK "http://archivio.invalsi.it/web-est/ormea/pagine/P020301.htm" \l "Stake, Robert E." \t "pagina" </w:instrText>
      </w:r>
      <w:r w:rsidR="00E02C8D" w:rsidRPr="00A168AF">
        <w:rPr>
          <w:rFonts w:ascii="Arial" w:eastAsia="Times New Roman" w:hAnsi="Arial" w:cs="Arial"/>
          <w:color w:val="000000"/>
          <w:sz w:val="24"/>
          <w:szCs w:val="24"/>
          <w:lang w:eastAsia="it-IT"/>
        </w:rPr>
        <w:fldChar w:fldCharType="separate"/>
      </w:r>
      <w:r w:rsidRPr="008E52B3">
        <w:rPr>
          <w:rFonts w:ascii="Arial" w:eastAsia="Times New Roman" w:hAnsi="Arial" w:cs="Arial"/>
          <w:color w:val="0000FF"/>
          <w:sz w:val="24"/>
          <w:szCs w:val="24"/>
          <w:u w:val="single"/>
          <w:lang w:eastAsia="it-IT"/>
        </w:rPr>
        <w:t>Stake</w:t>
      </w:r>
      <w:proofErr w:type="spellEnd"/>
      <w:r w:rsidRPr="008E52B3">
        <w:rPr>
          <w:rFonts w:ascii="Arial" w:eastAsia="Times New Roman" w:hAnsi="Arial" w:cs="Arial"/>
          <w:color w:val="0000FF"/>
          <w:sz w:val="24"/>
          <w:szCs w:val="24"/>
          <w:u w:val="single"/>
          <w:lang w:eastAsia="it-IT"/>
        </w:rPr>
        <w:t xml:space="preserve"> 1995</w:t>
      </w:r>
      <w:r w:rsidR="00E02C8D" w:rsidRPr="00A168AF">
        <w:rPr>
          <w:rFonts w:ascii="Arial" w:eastAsia="Times New Roman" w:hAnsi="Arial" w:cs="Arial"/>
          <w:color w:val="000000"/>
          <w:sz w:val="24"/>
          <w:szCs w:val="24"/>
          <w:lang w:eastAsia="it-IT"/>
        </w:rPr>
        <w:fldChar w:fldCharType="end"/>
      </w:r>
      <w:r w:rsidRPr="00A168AF">
        <w:rPr>
          <w:rFonts w:ascii="Arial" w:eastAsia="Times New Roman" w:hAnsi="Arial" w:cs="Arial"/>
          <w:color w:val="000000"/>
          <w:sz w:val="24"/>
          <w:szCs w:val="24"/>
          <w:lang w:eastAsia="it-IT"/>
        </w:rPr>
        <w:t xml:space="preserve">). </w:t>
      </w:r>
      <w:r w:rsidRPr="00A168AF">
        <w:rPr>
          <w:rFonts w:ascii="Arial" w:eastAsia="Times New Roman" w:hAnsi="Arial" w:cs="Arial"/>
          <w:color w:val="000000"/>
          <w:sz w:val="24"/>
          <w:szCs w:val="24"/>
          <w:lang w:eastAsia="it-IT"/>
        </w:rPr>
        <w:br/>
        <w:t xml:space="preserve">Nell’ottica sopra delineata è possibile concepire la conduzione di un lavoro di valutazione come realizzazione di uno "studio di caso" secondo le linee metodologiche tracciate negli approcci elaborati da </w:t>
      </w:r>
      <w:hyperlink r:id="rId8" w:anchor="Stake, Robert E." w:tgtFrame="pagina" w:history="1">
        <w:proofErr w:type="spellStart"/>
        <w:r w:rsidRPr="008E52B3">
          <w:rPr>
            <w:rFonts w:ascii="Arial" w:eastAsia="Times New Roman" w:hAnsi="Arial" w:cs="Arial"/>
            <w:color w:val="0000FF"/>
            <w:sz w:val="24"/>
            <w:szCs w:val="24"/>
            <w:u w:val="single"/>
            <w:lang w:eastAsia="it-IT"/>
          </w:rPr>
          <w:t>Stake</w:t>
        </w:r>
        <w:proofErr w:type="spellEnd"/>
      </w:hyperlink>
      <w:r w:rsidRPr="00A168AF">
        <w:rPr>
          <w:rFonts w:ascii="Arial" w:eastAsia="Times New Roman" w:hAnsi="Arial" w:cs="Arial"/>
          <w:color w:val="000000"/>
          <w:sz w:val="24"/>
          <w:szCs w:val="24"/>
          <w:lang w:eastAsia="it-IT"/>
        </w:rPr>
        <w:t xml:space="preserve"> e </w:t>
      </w:r>
      <w:hyperlink r:id="rId9" w:anchor="MacDonald B." w:tgtFrame="pagina" w:history="1">
        <w:proofErr w:type="spellStart"/>
        <w:r w:rsidRPr="008E52B3">
          <w:rPr>
            <w:rFonts w:ascii="Arial" w:eastAsia="Times New Roman" w:hAnsi="Arial" w:cs="Arial"/>
            <w:color w:val="0000FF"/>
            <w:sz w:val="24"/>
            <w:szCs w:val="24"/>
            <w:u w:val="single"/>
            <w:lang w:eastAsia="it-IT"/>
          </w:rPr>
          <w:t>MacDonald</w:t>
        </w:r>
        <w:proofErr w:type="spellEnd"/>
        <w:r w:rsidRPr="008E52B3">
          <w:rPr>
            <w:rFonts w:ascii="Arial" w:eastAsia="Times New Roman" w:hAnsi="Arial" w:cs="Arial"/>
            <w:color w:val="0000FF"/>
            <w:sz w:val="24"/>
            <w:szCs w:val="24"/>
            <w:u w:val="single"/>
            <w:lang w:eastAsia="it-IT"/>
          </w:rPr>
          <w:t xml:space="preserve"> (1974)</w:t>
        </w:r>
      </w:hyperlink>
      <w:r w:rsidRPr="00A168AF">
        <w:rPr>
          <w:rFonts w:ascii="Arial" w:eastAsia="Times New Roman" w:hAnsi="Arial" w:cs="Arial"/>
          <w:color w:val="000000"/>
          <w:sz w:val="24"/>
          <w:szCs w:val="24"/>
          <w:lang w:eastAsia="it-IT"/>
        </w:rPr>
        <w:t>. Con alcune possibili integrazioni.</w:t>
      </w:r>
    </w:p>
    <w:p w:rsidR="00A32A76" w:rsidRDefault="00A32A76" w:rsidP="00471C11">
      <w:pPr>
        <w:spacing w:before="100" w:beforeAutospacing="1" w:after="100" w:afterAutospacing="1" w:line="240" w:lineRule="auto"/>
        <w:rPr>
          <w:rFonts w:ascii="Arial" w:hAnsi="Arial" w:cs="Arial"/>
          <w:sz w:val="24"/>
          <w:szCs w:val="24"/>
        </w:rPr>
      </w:pPr>
    </w:p>
    <w:p w:rsidR="00471C11" w:rsidRPr="00471C11" w:rsidRDefault="00471C11" w:rsidP="00471C11">
      <w:pPr>
        <w:spacing w:before="100" w:beforeAutospacing="1" w:after="100" w:afterAutospacing="1" w:line="240" w:lineRule="auto"/>
        <w:rPr>
          <w:rFonts w:ascii="Arial" w:hAnsi="Arial" w:cs="Arial"/>
          <w:sz w:val="24"/>
          <w:szCs w:val="24"/>
        </w:rPr>
      </w:pPr>
      <w:r w:rsidRPr="00471C11">
        <w:rPr>
          <w:rFonts w:ascii="Arial" w:hAnsi="Arial" w:cs="Arial"/>
          <w:sz w:val="24"/>
          <w:szCs w:val="24"/>
        </w:rPr>
        <w:lastRenderedPageBreak/>
        <w:t>Come strategia di ricerca, lo studio di caso è prevalentemente usato in:</w:t>
      </w:r>
    </w:p>
    <w:p w:rsidR="00315379" w:rsidRPr="00471C11" w:rsidRDefault="009B1485" w:rsidP="00471C11">
      <w:pPr>
        <w:numPr>
          <w:ilvl w:val="0"/>
          <w:numId w:val="2"/>
        </w:numPr>
        <w:spacing w:before="100" w:beforeAutospacing="1" w:after="100" w:afterAutospacing="1" w:line="240" w:lineRule="auto"/>
        <w:rPr>
          <w:rFonts w:ascii="Arial" w:hAnsi="Arial" w:cs="Arial"/>
          <w:sz w:val="24"/>
          <w:szCs w:val="24"/>
        </w:rPr>
      </w:pPr>
      <w:r>
        <w:rPr>
          <w:rFonts w:ascii="Arial" w:hAnsi="Arial" w:cs="Arial"/>
          <w:sz w:val="24"/>
          <w:szCs w:val="24"/>
        </w:rPr>
        <w:t>V</w:t>
      </w:r>
      <w:r w:rsidR="00471C11" w:rsidRPr="00471C11">
        <w:rPr>
          <w:rFonts w:ascii="Arial" w:hAnsi="Arial" w:cs="Arial"/>
          <w:sz w:val="24"/>
          <w:szCs w:val="24"/>
        </w:rPr>
        <w:t>alutazione delle politiche sociali;</w:t>
      </w:r>
    </w:p>
    <w:p w:rsidR="00315379" w:rsidRPr="00471C11" w:rsidRDefault="009B1485" w:rsidP="00471C11">
      <w:pPr>
        <w:numPr>
          <w:ilvl w:val="0"/>
          <w:numId w:val="2"/>
        </w:numPr>
        <w:spacing w:before="100" w:beforeAutospacing="1" w:after="100" w:afterAutospacing="1" w:line="240" w:lineRule="auto"/>
        <w:rPr>
          <w:rFonts w:ascii="Arial" w:hAnsi="Arial" w:cs="Arial"/>
          <w:sz w:val="24"/>
          <w:szCs w:val="24"/>
        </w:rPr>
      </w:pPr>
      <w:r>
        <w:rPr>
          <w:rFonts w:ascii="Arial" w:hAnsi="Arial" w:cs="Arial"/>
          <w:sz w:val="24"/>
          <w:szCs w:val="24"/>
        </w:rPr>
        <w:t>V</w:t>
      </w:r>
      <w:r w:rsidR="00471C11" w:rsidRPr="00471C11">
        <w:rPr>
          <w:rFonts w:ascii="Arial" w:hAnsi="Arial" w:cs="Arial"/>
          <w:sz w:val="24"/>
          <w:szCs w:val="24"/>
        </w:rPr>
        <w:t>alutazione di progetti di insediamenti abitativi;</w:t>
      </w:r>
    </w:p>
    <w:p w:rsidR="00315379" w:rsidRPr="00471C11" w:rsidRDefault="009B1485" w:rsidP="00471C11">
      <w:pPr>
        <w:numPr>
          <w:ilvl w:val="0"/>
          <w:numId w:val="2"/>
        </w:numPr>
        <w:spacing w:before="100" w:beforeAutospacing="1" w:after="100" w:afterAutospacing="1" w:line="240" w:lineRule="auto"/>
        <w:rPr>
          <w:rFonts w:ascii="Arial" w:hAnsi="Arial" w:cs="Arial"/>
          <w:sz w:val="24"/>
          <w:szCs w:val="24"/>
        </w:rPr>
      </w:pPr>
      <w:r>
        <w:rPr>
          <w:rFonts w:ascii="Arial" w:hAnsi="Arial" w:cs="Arial"/>
          <w:sz w:val="24"/>
          <w:szCs w:val="24"/>
        </w:rPr>
        <w:t>P</w:t>
      </w:r>
      <w:r w:rsidR="00471C11" w:rsidRPr="00471C11">
        <w:rPr>
          <w:rFonts w:ascii="Arial" w:hAnsi="Arial" w:cs="Arial"/>
          <w:sz w:val="24"/>
          <w:szCs w:val="24"/>
        </w:rPr>
        <w:t>sicologia e sociologia delle comunità;</w:t>
      </w:r>
    </w:p>
    <w:p w:rsidR="00315379" w:rsidRPr="00471C11" w:rsidRDefault="009B1485" w:rsidP="00471C11">
      <w:pPr>
        <w:numPr>
          <w:ilvl w:val="0"/>
          <w:numId w:val="2"/>
        </w:numPr>
        <w:spacing w:before="100" w:beforeAutospacing="1" w:after="100" w:afterAutospacing="1" w:line="240" w:lineRule="auto"/>
        <w:rPr>
          <w:rFonts w:ascii="Arial" w:hAnsi="Arial" w:cs="Arial"/>
          <w:sz w:val="24"/>
          <w:szCs w:val="24"/>
        </w:rPr>
      </w:pPr>
      <w:r>
        <w:rPr>
          <w:rFonts w:ascii="Arial" w:hAnsi="Arial" w:cs="Arial"/>
          <w:sz w:val="24"/>
          <w:szCs w:val="24"/>
        </w:rPr>
        <w:t>S</w:t>
      </w:r>
      <w:r w:rsidR="00471C11" w:rsidRPr="00471C11">
        <w:rPr>
          <w:rFonts w:ascii="Arial" w:hAnsi="Arial" w:cs="Arial"/>
          <w:sz w:val="24"/>
          <w:szCs w:val="24"/>
        </w:rPr>
        <w:t xml:space="preserve">tudi sulle organizzazioni e sul </w:t>
      </w:r>
      <w:r w:rsidR="00471C11" w:rsidRPr="00471C11">
        <w:rPr>
          <w:rFonts w:ascii="Arial" w:hAnsi="Arial" w:cs="Arial"/>
          <w:i/>
          <w:iCs/>
          <w:sz w:val="24"/>
          <w:szCs w:val="24"/>
        </w:rPr>
        <w:t>management</w:t>
      </w:r>
      <w:r w:rsidR="00471C11" w:rsidRPr="00471C11">
        <w:rPr>
          <w:rFonts w:ascii="Arial" w:hAnsi="Arial" w:cs="Arial"/>
          <w:sz w:val="24"/>
          <w:szCs w:val="24"/>
        </w:rPr>
        <w:t>;</w:t>
      </w:r>
    </w:p>
    <w:p w:rsidR="00315379" w:rsidRPr="00471C11" w:rsidRDefault="009B1485" w:rsidP="00471C11">
      <w:pPr>
        <w:numPr>
          <w:ilvl w:val="0"/>
          <w:numId w:val="2"/>
        </w:numPr>
        <w:spacing w:before="100" w:beforeAutospacing="1" w:after="100" w:afterAutospacing="1" w:line="240" w:lineRule="auto"/>
        <w:rPr>
          <w:rFonts w:ascii="Arial" w:hAnsi="Arial" w:cs="Arial"/>
          <w:sz w:val="24"/>
          <w:szCs w:val="24"/>
        </w:rPr>
      </w:pPr>
      <w:r>
        <w:rPr>
          <w:rFonts w:ascii="Arial" w:hAnsi="Arial" w:cs="Arial"/>
          <w:sz w:val="24"/>
          <w:szCs w:val="24"/>
        </w:rPr>
        <w:t>T</w:t>
      </w:r>
      <w:r w:rsidR="00471C11" w:rsidRPr="00471C11">
        <w:rPr>
          <w:rFonts w:ascii="Arial" w:hAnsi="Arial" w:cs="Arial"/>
          <w:sz w:val="24"/>
          <w:szCs w:val="24"/>
        </w:rPr>
        <w:t>esi (di laurea e di dottorato) nelle scienze sociali.</w:t>
      </w:r>
    </w:p>
    <w:p w:rsidR="00471C11" w:rsidRDefault="00471C11" w:rsidP="004025AF">
      <w:pPr>
        <w:spacing w:before="100" w:beforeAutospacing="1" w:after="100" w:afterAutospacing="1" w:line="240" w:lineRule="auto"/>
        <w:rPr>
          <w:rFonts w:ascii="Arial" w:hAnsi="Arial" w:cs="Arial"/>
          <w:sz w:val="24"/>
          <w:szCs w:val="24"/>
        </w:rPr>
      </w:pPr>
      <w:r w:rsidRPr="00471C11">
        <w:rPr>
          <w:rFonts w:ascii="Arial" w:hAnsi="Arial" w:cs="Arial"/>
          <w:sz w:val="24"/>
          <w:szCs w:val="24"/>
        </w:rPr>
        <w:t xml:space="preserve">Lo studio di caso è un approccio </w:t>
      </w:r>
      <w:r w:rsidRPr="00471C11">
        <w:rPr>
          <w:rFonts w:ascii="Arial" w:hAnsi="Arial" w:cs="Arial"/>
          <w:i/>
          <w:iCs/>
          <w:sz w:val="24"/>
          <w:szCs w:val="24"/>
        </w:rPr>
        <w:t>olistico</w:t>
      </w:r>
      <w:r w:rsidRPr="00471C11">
        <w:rPr>
          <w:rFonts w:ascii="Arial" w:hAnsi="Arial" w:cs="Arial"/>
          <w:sz w:val="24"/>
          <w:szCs w:val="24"/>
        </w:rPr>
        <w:t xml:space="preserve"> per lo studio di eventi.</w:t>
      </w:r>
    </w:p>
    <w:p w:rsidR="00F57971" w:rsidRDefault="00F57971" w:rsidP="004025AF">
      <w:pPr>
        <w:spacing w:before="100" w:beforeAutospacing="1" w:after="100" w:afterAutospacing="1" w:line="240" w:lineRule="auto"/>
        <w:rPr>
          <w:rFonts w:ascii="Arial" w:hAnsi="Arial" w:cs="Arial"/>
          <w:sz w:val="24"/>
          <w:szCs w:val="24"/>
        </w:rPr>
      </w:pPr>
      <w:r w:rsidRPr="00F2359F">
        <w:rPr>
          <w:rFonts w:ascii="Arial" w:hAnsi="Arial" w:cs="Arial"/>
          <w:sz w:val="24"/>
          <w:szCs w:val="24"/>
        </w:rPr>
        <w:t>Uno dei metodi qualitativi più utilizzati e più riconosciuti in ambito accademico è quello</w:t>
      </w:r>
      <w:r w:rsidRPr="00F57971">
        <w:rPr>
          <w:rFonts w:ascii="Arial" w:hAnsi="Arial" w:cs="Arial"/>
          <w:sz w:val="24"/>
          <w:szCs w:val="24"/>
        </w:rPr>
        <w:t xml:space="preserve"> denominato </w:t>
      </w:r>
      <w:proofErr w:type="spellStart"/>
      <w:r w:rsidRPr="00F57971">
        <w:rPr>
          <w:rFonts w:ascii="Arial" w:hAnsi="Arial" w:cs="Arial"/>
          <w:i/>
          <w:iCs/>
          <w:sz w:val="24"/>
          <w:szCs w:val="24"/>
        </w:rPr>
        <w:t>Grounded</w:t>
      </w:r>
      <w:proofErr w:type="spellEnd"/>
      <w:r w:rsidRPr="00F57971">
        <w:rPr>
          <w:rFonts w:ascii="Arial" w:hAnsi="Arial" w:cs="Arial"/>
          <w:i/>
          <w:iCs/>
          <w:sz w:val="24"/>
          <w:szCs w:val="24"/>
        </w:rPr>
        <w:t xml:space="preserve"> </w:t>
      </w:r>
      <w:proofErr w:type="spellStart"/>
      <w:r w:rsidRPr="00F57971">
        <w:rPr>
          <w:rFonts w:ascii="Arial" w:hAnsi="Arial" w:cs="Arial"/>
          <w:i/>
          <w:iCs/>
          <w:sz w:val="24"/>
          <w:szCs w:val="24"/>
        </w:rPr>
        <w:t>Theory</w:t>
      </w:r>
      <w:proofErr w:type="spellEnd"/>
      <w:r w:rsidRPr="00F57971">
        <w:rPr>
          <w:rFonts w:ascii="Arial" w:hAnsi="Arial" w:cs="Arial"/>
          <w:sz w:val="24"/>
          <w:szCs w:val="24"/>
        </w:rPr>
        <w:t xml:space="preserve"> (di difficile traduzione, ma che si riferisce ad una teoria ‘radicata’ nei dati). Tale metodo nacque nell’ambito della sociologia dalla collaborazione di </w:t>
      </w:r>
      <w:proofErr w:type="spellStart"/>
      <w:r w:rsidRPr="00F57971">
        <w:rPr>
          <w:rFonts w:ascii="Arial" w:hAnsi="Arial" w:cs="Arial"/>
          <w:sz w:val="24"/>
          <w:szCs w:val="24"/>
        </w:rPr>
        <w:t>Glaser</w:t>
      </w:r>
      <w:proofErr w:type="spellEnd"/>
      <w:r w:rsidRPr="00F57971">
        <w:rPr>
          <w:rFonts w:ascii="Arial" w:hAnsi="Arial" w:cs="Arial"/>
          <w:sz w:val="24"/>
          <w:szCs w:val="24"/>
        </w:rPr>
        <w:t xml:space="preserve"> e Strauss che lo ‘scoprirono’ nel corso di uno studio sulla consapevolezza della morte (</w:t>
      </w:r>
      <w:proofErr w:type="spellStart"/>
      <w:r w:rsidRPr="00F57971">
        <w:rPr>
          <w:rFonts w:ascii="Arial" w:hAnsi="Arial" w:cs="Arial"/>
          <w:sz w:val="24"/>
          <w:szCs w:val="24"/>
        </w:rPr>
        <w:t>Glaser</w:t>
      </w:r>
      <w:proofErr w:type="spellEnd"/>
      <w:r w:rsidRPr="00F57971">
        <w:rPr>
          <w:rFonts w:ascii="Arial" w:hAnsi="Arial" w:cs="Arial"/>
          <w:sz w:val="24"/>
          <w:szCs w:val="24"/>
        </w:rPr>
        <w:t xml:space="preserve"> e Strauss, 1967). Nel loro pregevole lavoro del 1967, questi autori evidenziarono come in passato la ricerca avvenisse principalmente in un ambito artificialmente separato dalla pratica clinica e dalla realtà di tutti i giorni e come tale artificiosità dipendesse fra l’altro dalla separazione tra le fasi di raccolta e analisi dei dati. </w:t>
      </w:r>
      <w:proofErr w:type="spellStart"/>
      <w:r w:rsidRPr="00F57971">
        <w:rPr>
          <w:rFonts w:ascii="Arial" w:hAnsi="Arial" w:cs="Arial"/>
          <w:sz w:val="24"/>
          <w:szCs w:val="24"/>
        </w:rPr>
        <w:t>Glaser</w:t>
      </w:r>
      <w:proofErr w:type="spellEnd"/>
      <w:r w:rsidRPr="00F57971">
        <w:rPr>
          <w:rFonts w:ascii="Arial" w:hAnsi="Arial" w:cs="Arial"/>
          <w:sz w:val="24"/>
          <w:szCs w:val="24"/>
        </w:rPr>
        <w:t xml:space="preserve"> e Strauss per primi riuscirono a dimostrare con successo come teorie sociologiche e psicologiche possano fondarsi su dati di natura qualitativa e come tali dati abbiano un valore intrinseco e non debbano venire intesi unicamente come sostegno a dati quantitativi.</w:t>
      </w:r>
    </w:p>
    <w:p w:rsidR="002649AB" w:rsidRPr="00F2359F" w:rsidRDefault="002649AB" w:rsidP="002444E3">
      <w:pPr>
        <w:autoSpaceDE w:val="0"/>
        <w:autoSpaceDN w:val="0"/>
        <w:adjustRightInd w:val="0"/>
        <w:spacing w:after="0" w:line="240" w:lineRule="auto"/>
        <w:jc w:val="both"/>
        <w:rPr>
          <w:rFonts w:ascii="Arial" w:hAnsi="Arial" w:cs="Arial"/>
          <w:color w:val="255D70"/>
          <w:sz w:val="24"/>
          <w:szCs w:val="24"/>
        </w:rPr>
      </w:pPr>
      <w:r w:rsidRPr="00F2359F">
        <w:rPr>
          <w:rFonts w:ascii="Arial" w:hAnsi="Arial" w:cs="Arial"/>
          <w:color w:val="000000"/>
          <w:sz w:val="24"/>
          <w:szCs w:val="24"/>
        </w:rPr>
        <w:t>Lo</w:t>
      </w:r>
      <w:r w:rsidRPr="00F2359F">
        <w:rPr>
          <w:rFonts w:ascii="Arial" w:hAnsi="Arial" w:cs="Arial"/>
          <w:color w:val="255D70"/>
          <w:sz w:val="24"/>
          <w:szCs w:val="24"/>
        </w:rPr>
        <w:t xml:space="preserve"> </w:t>
      </w:r>
      <w:r w:rsidRPr="00F2359F">
        <w:rPr>
          <w:rFonts w:ascii="Arial" w:hAnsi="Arial" w:cs="Arial"/>
          <w:color w:val="000000"/>
          <w:sz w:val="24"/>
          <w:szCs w:val="24"/>
        </w:rPr>
        <w:t>studi</w:t>
      </w:r>
      <w:r w:rsidR="00F2359F" w:rsidRPr="00F2359F">
        <w:rPr>
          <w:rFonts w:ascii="Arial" w:hAnsi="Arial" w:cs="Arial"/>
          <w:sz w:val="24"/>
          <w:szCs w:val="24"/>
        </w:rPr>
        <w:t>o</w:t>
      </w:r>
      <w:r w:rsidRPr="00F2359F">
        <w:rPr>
          <w:rFonts w:ascii="Arial" w:hAnsi="Arial" w:cs="Arial"/>
          <w:color w:val="255D70"/>
          <w:sz w:val="24"/>
          <w:szCs w:val="24"/>
        </w:rPr>
        <w:t xml:space="preserve"> </w:t>
      </w:r>
      <w:r w:rsidRPr="00F2359F">
        <w:rPr>
          <w:rFonts w:ascii="Arial" w:hAnsi="Arial" w:cs="Arial"/>
          <w:color w:val="000000"/>
          <w:sz w:val="24"/>
          <w:szCs w:val="24"/>
        </w:rPr>
        <w:t>di</w:t>
      </w:r>
      <w:r w:rsidRPr="00F2359F">
        <w:rPr>
          <w:rFonts w:ascii="Arial" w:hAnsi="Arial" w:cs="Arial"/>
          <w:color w:val="255D70"/>
          <w:sz w:val="24"/>
          <w:szCs w:val="24"/>
        </w:rPr>
        <w:t xml:space="preserve"> </w:t>
      </w:r>
      <w:r w:rsidRPr="00F2359F">
        <w:rPr>
          <w:rFonts w:ascii="Arial" w:hAnsi="Arial" w:cs="Arial"/>
          <w:color w:val="000000"/>
          <w:sz w:val="24"/>
          <w:szCs w:val="24"/>
        </w:rPr>
        <w:t>caso</w:t>
      </w:r>
    </w:p>
    <w:p w:rsidR="002649AB" w:rsidRPr="00F2359F" w:rsidRDefault="00F2359F"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2649AB" w:rsidRPr="00F2359F">
        <w:rPr>
          <w:rFonts w:ascii="Arial" w:hAnsi="Arial" w:cs="Arial"/>
          <w:color w:val="000000"/>
          <w:sz w:val="24"/>
          <w:szCs w:val="24"/>
        </w:rPr>
        <w:t>• Può riguardare sia una singola persona o una singola istituzione, o</w:t>
      </w:r>
      <w:r w:rsidR="009B1485">
        <w:rPr>
          <w:rFonts w:ascii="Arial" w:hAnsi="Arial" w:cs="Arial"/>
          <w:color w:val="000000"/>
          <w:sz w:val="24"/>
          <w:szCs w:val="24"/>
        </w:rPr>
        <w:t xml:space="preserve"> </w:t>
      </w:r>
      <w:r w:rsidR="009B1485" w:rsidRPr="00F2359F">
        <w:rPr>
          <w:rFonts w:ascii="Arial" w:hAnsi="Arial" w:cs="Arial"/>
          <w:color w:val="000000"/>
          <w:sz w:val="24"/>
          <w:szCs w:val="24"/>
        </w:rPr>
        <w:t>eventi</w:t>
      </w:r>
    </w:p>
    <w:p w:rsidR="002649AB" w:rsidRPr="00F2359F" w:rsidRDefault="00F2359F" w:rsidP="002444E3">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    </w:t>
      </w:r>
      <w:r w:rsidR="002649AB" w:rsidRPr="00F2359F">
        <w:rPr>
          <w:rFonts w:ascii="Arial" w:hAnsi="Arial" w:cs="Arial"/>
          <w:color w:val="000000"/>
          <w:sz w:val="24"/>
          <w:szCs w:val="24"/>
        </w:rPr>
        <w:t>• Il caso deve essere ben definito e specifico</w:t>
      </w:r>
    </w:p>
    <w:p w:rsidR="009B1485" w:rsidRDefault="009B1485"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2649AB" w:rsidRPr="00F2359F">
        <w:rPr>
          <w:rFonts w:ascii="Arial" w:hAnsi="Arial" w:cs="Arial"/>
          <w:color w:val="000000"/>
          <w:sz w:val="24"/>
          <w:szCs w:val="24"/>
        </w:rPr>
        <w:t xml:space="preserve">• </w:t>
      </w:r>
      <w:r w:rsidR="002649AB" w:rsidRPr="00F2359F">
        <w:rPr>
          <w:rFonts w:ascii="Arial" w:hAnsi="Arial" w:cs="Arial"/>
          <w:b/>
          <w:bCs/>
          <w:sz w:val="24"/>
          <w:szCs w:val="24"/>
        </w:rPr>
        <w:t>Studio di caso intrinseco</w:t>
      </w:r>
      <w:r w:rsidR="002649AB" w:rsidRPr="00F2359F">
        <w:rPr>
          <w:rFonts w:ascii="Arial" w:hAnsi="Arial" w:cs="Arial"/>
          <w:color w:val="000000"/>
          <w:sz w:val="24"/>
          <w:szCs w:val="24"/>
        </w:rPr>
        <w:t>: identifica le ricerche in cui si sceglie un</w:t>
      </w:r>
      <w:r w:rsidRPr="009B1485">
        <w:rPr>
          <w:rFonts w:ascii="Arial" w:hAnsi="Arial" w:cs="Arial"/>
          <w:color w:val="000000"/>
          <w:sz w:val="24"/>
          <w:szCs w:val="24"/>
        </w:rPr>
        <w:t xml:space="preserve"> </w:t>
      </w:r>
      <w:r w:rsidRPr="00F2359F">
        <w:rPr>
          <w:rFonts w:ascii="Arial" w:hAnsi="Arial" w:cs="Arial"/>
          <w:color w:val="000000"/>
          <w:sz w:val="24"/>
          <w:szCs w:val="24"/>
        </w:rPr>
        <w:t xml:space="preserve">dato oggetto di </w:t>
      </w:r>
    </w:p>
    <w:p w:rsidR="002649AB" w:rsidRPr="00F2359F" w:rsidRDefault="009B1485"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studio</w:t>
      </w:r>
      <w:proofErr w:type="gramEnd"/>
      <w:r>
        <w:rPr>
          <w:rFonts w:ascii="Arial" w:hAnsi="Arial" w:cs="Arial"/>
          <w:color w:val="000000"/>
          <w:sz w:val="24"/>
          <w:szCs w:val="24"/>
        </w:rPr>
        <w:t xml:space="preserve"> perché illustra bene il problema;                 </w:t>
      </w:r>
    </w:p>
    <w:p w:rsidR="002649AB" w:rsidRPr="00F2359F" w:rsidRDefault="00F2359F" w:rsidP="002444E3">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 </w:t>
      </w:r>
      <w:r w:rsidR="009B1485">
        <w:rPr>
          <w:rFonts w:ascii="Arial" w:hAnsi="Arial" w:cs="Arial"/>
          <w:color w:val="000000"/>
          <w:sz w:val="24"/>
          <w:szCs w:val="24"/>
        </w:rPr>
        <w:t xml:space="preserve"> </w:t>
      </w:r>
      <w:r>
        <w:rPr>
          <w:rFonts w:ascii="Arial" w:hAnsi="Arial" w:cs="Arial"/>
          <w:color w:val="000000"/>
          <w:sz w:val="24"/>
          <w:szCs w:val="24"/>
        </w:rPr>
        <w:t xml:space="preserve">  </w:t>
      </w:r>
      <w:r w:rsidR="002649AB" w:rsidRPr="00F2359F">
        <w:rPr>
          <w:rFonts w:ascii="Arial" w:hAnsi="Arial" w:cs="Arial"/>
          <w:color w:val="000000"/>
          <w:sz w:val="24"/>
          <w:szCs w:val="24"/>
        </w:rPr>
        <w:t>− un soggetto eccezionalmente dotato, un bambino affetto da</w:t>
      </w:r>
      <w:r w:rsidR="009B1485">
        <w:rPr>
          <w:rFonts w:ascii="Arial" w:hAnsi="Arial" w:cs="Arial"/>
          <w:color w:val="000000"/>
          <w:sz w:val="24"/>
          <w:szCs w:val="24"/>
        </w:rPr>
        <w:t xml:space="preserve"> </w:t>
      </w:r>
      <w:r w:rsidR="009B1485" w:rsidRPr="00F2359F">
        <w:rPr>
          <w:rFonts w:ascii="Arial" w:hAnsi="Arial" w:cs="Arial"/>
          <w:color w:val="000000"/>
          <w:sz w:val="24"/>
          <w:szCs w:val="24"/>
        </w:rPr>
        <w:t>malattia rara.</w:t>
      </w:r>
    </w:p>
    <w:p w:rsidR="002649AB" w:rsidRDefault="00F2359F"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2649AB" w:rsidRPr="00F2359F">
        <w:rPr>
          <w:rFonts w:ascii="Arial" w:hAnsi="Arial" w:cs="Arial"/>
          <w:color w:val="000000"/>
          <w:sz w:val="24"/>
          <w:szCs w:val="24"/>
        </w:rPr>
        <w:t xml:space="preserve">• </w:t>
      </w:r>
      <w:r w:rsidR="002649AB" w:rsidRPr="00F2359F">
        <w:rPr>
          <w:rFonts w:ascii="Arial" w:hAnsi="Arial" w:cs="Arial"/>
          <w:b/>
          <w:bCs/>
          <w:sz w:val="24"/>
          <w:szCs w:val="24"/>
        </w:rPr>
        <w:t>Studio di caso strumentale</w:t>
      </w:r>
      <w:r w:rsidR="002649AB" w:rsidRPr="00F2359F">
        <w:rPr>
          <w:rFonts w:ascii="Arial" w:hAnsi="Arial" w:cs="Arial"/>
          <w:sz w:val="24"/>
          <w:szCs w:val="24"/>
        </w:rPr>
        <w:t>:</w:t>
      </w:r>
      <w:r w:rsidR="002649AB" w:rsidRPr="00F2359F">
        <w:rPr>
          <w:rFonts w:ascii="Arial" w:hAnsi="Arial" w:cs="Arial"/>
          <w:color w:val="000000"/>
          <w:sz w:val="24"/>
          <w:szCs w:val="24"/>
        </w:rPr>
        <w:t xml:space="preserve"> il cui oggetto è preso in considerazione</w:t>
      </w:r>
      <w:r w:rsidR="002444E3">
        <w:rPr>
          <w:rFonts w:ascii="Arial" w:hAnsi="Arial" w:cs="Arial"/>
          <w:color w:val="000000"/>
          <w:sz w:val="24"/>
          <w:szCs w:val="24"/>
        </w:rPr>
        <w:t xml:space="preserve"> per il fatto che</w:t>
      </w:r>
      <w:proofErr w:type="gramStart"/>
      <w:r w:rsidR="002444E3">
        <w:rPr>
          <w:rFonts w:ascii="Arial" w:hAnsi="Arial" w:cs="Arial"/>
          <w:color w:val="000000"/>
          <w:sz w:val="24"/>
          <w:szCs w:val="24"/>
        </w:rPr>
        <w:t xml:space="preserve">    </w:t>
      </w:r>
      <w:proofErr w:type="gramEnd"/>
    </w:p>
    <w:p w:rsidR="002444E3" w:rsidRPr="00F2359F" w:rsidRDefault="002444E3"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può</w:t>
      </w:r>
      <w:proofErr w:type="gramEnd"/>
      <w:r>
        <w:rPr>
          <w:rFonts w:ascii="Arial" w:hAnsi="Arial" w:cs="Arial"/>
          <w:color w:val="000000"/>
          <w:sz w:val="24"/>
          <w:szCs w:val="24"/>
        </w:rPr>
        <w:t xml:space="preserve"> consentire generalizzazioni</w:t>
      </w:r>
    </w:p>
    <w:p w:rsidR="002649AB" w:rsidRPr="00F2359F" w:rsidRDefault="00A32A76"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F2359F">
        <w:rPr>
          <w:rFonts w:ascii="Arial" w:hAnsi="Arial" w:cs="Arial"/>
          <w:color w:val="000000"/>
          <w:sz w:val="24"/>
          <w:szCs w:val="24"/>
        </w:rPr>
        <w:t xml:space="preserve"> </w:t>
      </w:r>
      <w:r w:rsidR="002649AB" w:rsidRPr="00F2359F">
        <w:rPr>
          <w:rFonts w:ascii="Arial" w:hAnsi="Arial" w:cs="Arial"/>
          <w:color w:val="000000"/>
          <w:sz w:val="24"/>
          <w:szCs w:val="24"/>
        </w:rPr>
        <w:t>− Posso studiare biografie tipiche di bambine cresciute negli anni</w:t>
      </w:r>
      <w:r w:rsidR="002444E3">
        <w:rPr>
          <w:rFonts w:ascii="Arial" w:hAnsi="Arial" w:cs="Arial"/>
          <w:color w:val="000000"/>
          <w:sz w:val="24"/>
          <w:szCs w:val="24"/>
        </w:rPr>
        <w:t xml:space="preserve"> 50, per indagare </w:t>
      </w:r>
      <w:proofErr w:type="gramStart"/>
      <w:r w:rsidR="002444E3">
        <w:rPr>
          <w:rFonts w:ascii="Arial" w:hAnsi="Arial" w:cs="Arial"/>
          <w:color w:val="000000"/>
          <w:sz w:val="24"/>
          <w:szCs w:val="24"/>
        </w:rPr>
        <w:t>le</w:t>
      </w:r>
      <w:proofErr w:type="gramEnd"/>
      <w:r w:rsidR="002444E3">
        <w:rPr>
          <w:rFonts w:ascii="Arial" w:hAnsi="Arial" w:cs="Arial"/>
          <w:color w:val="000000"/>
          <w:sz w:val="24"/>
          <w:szCs w:val="24"/>
        </w:rPr>
        <w:t xml:space="preserve"> </w:t>
      </w:r>
    </w:p>
    <w:p w:rsidR="002649AB" w:rsidRPr="00F2359F" w:rsidRDefault="002444E3" w:rsidP="002444E3">
      <w:pPr>
        <w:autoSpaceDE w:val="0"/>
        <w:autoSpaceDN w:val="0"/>
        <w:adjustRightInd w:val="0"/>
        <w:spacing w:after="0"/>
        <w:jc w:val="both"/>
        <w:rPr>
          <w:rFonts w:ascii="Arial" w:hAnsi="Arial" w:cs="Arial"/>
          <w:color w:val="000000"/>
          <w:sz w:val="24"/>
          <w:szCs w:val="24"/>
        </w:rPr>
      </w:pPr>
      <w:r>
        <w:rPr>
          <w:rFonts w:ascii="Arial" w:hAnsi="Arial" w:cs="Arial"/>
          <w:color w:val="000000"/>
          <w:sz w:val="24"/>
          <w:szCs w:val="24"/>
        </w:rPr>
        <w:t xml:space="preserve">     </w:t>
      </w:r>
      <w:r w:rsidRPr="00F2359F">
        <w:rPr>
          <w:rFonts w:ascii="Arial" w:hAnsi="Arial" w:cs="Arial"/>
          <w:color w:val="000000"/>
          <w:sz w:val="24"/>
          <w:szCs w:val="24"/>
        </w:rPr>
        <w:t xml:space="preserve"> </w:t>
      </w:r>
      <w:proofErr w:type="gramStart"/>
      <w:r w:rsidRPr="00F2359F">
        <w:rPr>
          <w:rFonts w:ascii="Arial" w:hAnsi="Arial" w:cs="Arial"/>
          <w:color w:val="000000"/>
          <w:sz w:val="24"/>
          <w:szCs w:val="24"/>
        </w:rPr>
        <w:t>le</w:t>
      </w:r>
      <w:proofErr w:type="gramEnd"/>
      <w:r w:rsidRPr="00F2359F">
        <w:rPr>
          <w:rFonts w:ascii="Arial" w:hAnsi="Arial" w:cs="Arial"/>
          <w:color w:val="000000"/>
          <w:sz w:val="24"/>
          <w:szCs w:val="24"/>
        </w:rPr>
        <w:t xml:space="preserve"> caratteristiche di un’educazione fortemente</w:t>
      </w:r>
      <w:r>
        <w:rPr>
          <w:rFonts w:ascii="Arial" w:hAnsi="Arial" w:cs="Arial"/>
          <w:color w:val="000000"/>
          <w:sz w:val="24"/>
          <w:szCs w:val="24"/>
        </w:rPr>
        <w:t xml:space="preserve"> </w:t>
      </w:r>
      <w:r w:rsidRPr="00F2359F">
        <w:rPr>
          <w:rFonts w:ascii="Arial" w:hAnsi="Arial" w:cs="Arial"/>
          <w:color w:val="000000"/>
          <w:sz w:val="24"/>
          <w:szCs w:val="24"/>
        </w:rPr>
        <w:t>differenziata per genere</w:t>
      </w:r>
    </w:p>
    <w:p w:rsidR="002444E3" w:rsidRDefault="00F2359F"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2649AB" w:rsidRPr="00F2359F">
        <w:rPr>
          <w:rFonts w:ascii="Arial" w:hAnsi="Arial" w:cs="Arial"/>
          <w:color w:val="000000"/>
          <w:sz w:val="24"/>
          <w:szCs w:val="24"/>
        </w:rPr>
        <w:t xml:space="preserve">• </w:t>
      </w:r>
      <w:r w:rsidR="002649AB" w:rsidRPr="00F2359F">
        <w:rPr>
          <w:rFonts w:ascii="Arial" w:hAnsi="Arial" w:cs="Arial"/>
          <w:b/>
          <w:bCs/>
          <w:sz w:val="24"/>
          <w:szCs w:val="24"/>
        </w:rPr>
        <w:t>Studio di caso collettivo</w:t>
      </w:r>
      <w:r w:rsidR="002649AB" w:rsidRPr="00F2359F">
        <w:rPr>
          <w:rFonts w:ascii="Arial" w:hAnsi="Arial" w:cs="Arial"/>
          <w:sz w:val="24"/>
          <w:szCs w:val="24"/>
        </w:rPr>
        <w:t>:</w:t>
      </w:r>
      <w:r w:rsidR="002649AB" w:rsidRPr="00F2359F">
        <w:rPr>
          <w:rFonts w:ascii="Arial" w:hAnsi="Arial" w:cs="Arial"/>
          <w:color w:val="000000"/>
          <w:sz w:val="24"/>
          <w:szCs w:val="24"/>
        </w:rPr>
        <w:t xml:space="preserve"> in cui l’a</w:t>
      </w:r>
      <w:r w:rsidR="002444E3">
        <w:rPr>
          <w:rFonts w:ascii="Arial" w:hAnsi="Arial" w:cs="Arial"/>
          <w:color w:val="000000"/>
          <w:sz w:val="24"/>
          <w:szCs w:val="24"/>
        </w:rPr>
        <w:t xml:space="preserve">nalisi di casi individuali viene </w:t>
      </w:r>
      <w:r w:rsidR="002444E3" w:rsidRPr="00F2359F">
        <w:rPr>
          <w:rFonts w:ascii="Arial" w:hAnsi="Arial" w:cs="Arial"/>
          <w:color w:val="000000"/>
          <w:sz w:val="24"/>
          <w:szCs w:val="24"/>
        </w:rPr>
        <w:t>replicata su altri</w:t>
      </w:r>
      <w:proofErr w:type="gramStart"/>
      <w:r w:rsidR="002444E3" w:rsidRPr="00F2359F">
        <w:rPr>
          <w:rFonts w:ascii="Arial" w:hAnsi="Arial" w:cs="Arial"/>
          <w:color w:val="000000"/>
          <w:sz w:val="24"/>
          <w:szCs w:val="24"/>
        </w:rPr>
        <w:t xml:space="preserve"> </w:t>
      </w:r>
      <w:r w:rsidR="002444E3">
        <w:rPr>
          <w:rFonts w:ascii="Arial" w:hAnsi="Arial" w:cs="Arial"/>
          <w:color w:val="000000"/>
          <w:sz w:val="24"/>
          <w:szCs w:val="24"/>
        </w:rPr>
        <w:t xml:space="preserve">   </w:t>
      </w:r>
      <w:proofErr w:type="gramEnd"/>
    </w:p>
    <w:p w:rsidR="002444E3" w:rsidRPr="00F2359F" w:rsidRDefault="002444E3"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soggetti</w:t>
      </w:r>
      <w:proofErr w:type="gramEnd"/>
    </w:p>
    <w:p w:rsidR="002649AB" w:rsidRPr="00F2359F" w:rsidRDefault="002444E3"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A32A76">
        <w:rPr>
          <w:rFonts w:ascii="Arial" w:hAnsi="Arial" w:cs="Arial"/>
          <w:color w:val="000000"/>
          <w:sz w:val="24"/>
          <w:szCs w:val="24"/>
        </w:rPr>
        <w:t xml:space="preserve">  </w:t>
      </w:r>
      <w:r w:rsidR="002649AB" w:rsidRPr="00F2359F">
        <w:rPr>
          <w:rFonts w:ascii="Arial" w:hAnsi="Arial" w:cs="Arial"/>
          <w:color w:val="000000"/>
          <w:sz w:val="24"/>
          <w:szCs w:val="24"/>
        </w:rPr>
        <w:t>− Il percorso di inserimento e di integrazione di più bambini,</w:t>
      </w:r>
      <w:r w:rsidRPr="002444E3">
        <w:rPr>
          <w:rFonts w:ascii="Arial" w:hAnsi="Arial" w:cs="Arial"/>
          <w:color w:val="000000"/>
          <w:sz w:val="24"/>
          <w:szCs w:val="24"/>
        </w:rPr>
        <w:t xml:space="preserve"> </w:t>
      </w:r>
      <w:r w:rsidRPr="00F2359F">
        <w:rPr>
          <w:rFonts w:ascii="Arial" w:hAnsi="Arial" w:cs="Arial"/>
          <w:color w:val="000000"/>
          <w:sz w:val="24"/>
          <w:szCs w:val="24"/>
        </w:rPr>
        <w:t>all’interno di una comunità</w:t>
      </w:r>
      <w:proofErr w:type="gramStart"/>
      <w:r w:rsidRPr="00F2359F">
        <w:rPr>
          <w:rFonts w:ascii="Arial" w:hAnsi="Arial" w:cs="Arial"/>
          <w:color w:val="000000"/>
          <w:sz w:val="24"/>
          <w:szCs w:val="24"/>
        </w:rPr>
        <w:t xml:space="preserve"> </w:t>
      </w:r>
      <w:r>
        <w:rPr>
          <w:rFonts w:ascii="Arial" w:hAnsi="Arial" w:cs="Arial"/>
          <w:color w:val="000000"/>
          <w:sz w:val="24"/>
          <w:szCs w:val="24"/>
        </w:rPr>
        <w:t xml:space="preserve">   </w:t>
      </w:r>
      <w:proofErr w:type="gramEnd"/>
    </w:p>
    <w:p w:rsidR="002649AB" w:rsidRDefault="00F2359F" w:rsidP="002444E3">
      <w:pPr>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 xml:space="preserve">      </w:t>
      </w:r>
      <w:r w:rsidR="002444E3">
        <w:rPr>
          <w:rFonts w:ascii="Arial" w:hAnsi="Arial" w:cs="Arial"/>
          <w:color w:val="000000"/>
          <w:sz w:val="24"/>
          <w:szCs w:val="24"/>
        </w:rPr>
        <w:t>alloggio.</w:t>
      </w:r>
      <w:r>
        <w:rPr>
          <w:rFonts w:ascii="Arial" w:hAnsi="Arial" w:cs="Arial"/>
          <w:color w:val="000000"/>
          <w:sz w:val="24"/>
          <w:szCs w:val="24"/>
        </w:rPr>
        <w:t xml:space="preserve"> </w:t>
      </w:r>
    </w:p>
    <w:p w:rsidR="009C60E2" w:rsidRDefault="009C60E2" w:rsidP="002649AB">
      <w:pPr>
        <w:autoSpaceDE w:val="0"/>
        <w:autoSpaceDN w:val="0"/>
        <w:adjustRightInd w:val="0"/>
        <w:spacing w:after="0" w:line="240" w:lineRule="auto"/>
        <w:rPr>
          <w:rFonts w:ascii="Arial" w:hAnsi="Arial" w:cs="Arial"/>
          <w:color w:val="000000"/>
          <w:sz w:val="24"/>
          <w:szCs w:val="24"/>
        </w:rPr>
      </w:pPr>
    </w:p>
    <w:p w:rsidR="004025AF" w:rsidRPr="009C60E2" w:rsidRDefault="009C60E2" w:rsidP="004025AF">
      <w:pPr>
        <w:autoSpaceDE w:val="0"/>
        <w:autoSpaceDN w:val="0"/>
        <w:adjustRightInd w:val="0"/>
        <w:spacing w:after="0" w:line="240" w:lineRule="auto"/>
        <w:rPr>
          <w:rFonts w:ascii="Arial" w:hAnsi="Arial" w:cs="Arial"/>
          <w:sz w:val="24"/>
          <w:szCs w:val="24"/>
        </w:rPr>
      </w:pPr>
      <w:r w:rsidRPr="009C60E2">
        <w:rPr>
          <w:rFonts w:ascii="Arial" w:hAnsi="Arial" w:cs="Arial"/>
          <w:sz w:val="24"/>
          <w:szCs w:val="24"/>
        </w:rPr>
        <w:t xml:space="preserve">Secondo </w:t>
      </w:r>
      <w:proofErr w:type="spellStart"/>
      <w:r w:rsidRPr="009C60E2">
        <w:rPr>
          <w:rFonts w:ascii="Arial" w:hAnsi="Arial" w:cs="Arial"/>
          <w:sz w:val="24"/>
          <w:szCs w:val="24"/>
        </w:rPr>
        <w:t>Stenhouse</w:t>
      </w:r>
      <w:proofErr w:type="spellEnd"/>
      <w:r w:rsidRPr="009C60E2">
        <w:rPr>
          <w:rFonts w:ascii="Arial" w:hAnsi="Arial" w:cs="Arial"/>
          <w:sz w:val="24"/>
          <w:szCs w:val="24"/>
        </w:rPr>
        <w:t xml:space="preserve"> (1985) lo studio di caso ha</w:t>
      </w:r>
      <w:r w:rsidR="004025AF">
        <w:rPr>
          <w:rFonts w:ascii="Arial" w:hAnsi="Arial" w:cs="Arial"/>
          <w:sz w:val="24"/>
          <w:szCs w:val="24"/>
        </w:rPr>
        <w:t xml:space="preserve"> </w:t>
      </w:r>
      <w:r w:rsidR="004025AF" w:rsidRPr="009C60E2">
        <w:rPr>
          <w:rFonts w:ascii="Arial" w:hAnsi="Arial" w:cs="Arial"/>
          <w:sz w:val="24"/>
          <w:szCs w:val="24"/>
        </w:rPr>
        <w:t>i seguenti momenti:</w:t>
      </w:r>
    </w:p>
    <w:p w:rsidR="009C60E2" w:rsidRPr="009C60E2" w:rsidRDefault="009C60E2" w:rsidP="009C60E2">
      <w:pPr>
        <w:autoSpaceDE w:val="0"/>
        <w:autoSpaceDN w:val="0"/>
        <w:adjustRightInd w:val="0"/>
        <w:spacing w:after="0" w:line="240" w:lineRule="auto"/>
        <w:rPr>
          <w:rFonts w:ascii="Arial" w:hAnsi="Arial" w:cs="Arial"/>
          <w:sz w:val="24"/>
          <w:szCs w:val="24"/>
        </w:rPr>
      </w:pPr>
    </w:p>
    <w:p w:rsidR="009C60E2" w:rsidRPr="009C60E2" w:rsidRDefault="009C60E2"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Pr="009C60E2">
        <w:rPr>
          <w:rFonts w:ascii="Arial" w:hAnsi="Arial" w:cs="Arial"/>
          <w:sz w:val="24"/>
          <w:szCs w:val="24"/>
        </w:rPr>
        <w:t>1. La definizione dello scopo della ricerca</w:t>
      </w:r>
    </w:p>
    <w:p w:rsidR="004025AF" w:rsidRPr="009C60E2" w:rsidRDefault="004025AF" w:rsidP="004025AF">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2. La selezione e negoziazione dell’accesso al caso che</w:t>
      </w:r>
      <w:r w:rsidRPr="004025AF">
        <w:rPr>
          <w:rFonts w:ascii="Arial" w:hAnsi="Arial" w:cs="Arial"/>
          <w:sz w:val="24"/>
          <w:szCs w:val="24"/>
        </w:rPr>
        <w:t xml:space="preserve"> </w:t>
      </w:r>
      <w:r w:rsidRPr="009C60E2">
        <w:rPr>
          <w:rFonts w:ascii="Arial" w:hAnsi="Arial" w:cs="Arial"/>
          <w:sz w:val="24"/>
          <w:szCs w:val="24"/>
        </w:rPr>
        <w:t>comporta</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definizione del caso</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concettualizzazione dell’oggetto di studio</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scelta delle fonti e degli strumenti</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3. Il lavoro sul campo implica:</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negoziazione del ruolo</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raccolta dati</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4. l’organizzazione delle registrazioni che prevede:</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La riduzione</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9C60E2" w:rsidRPr="009C60E2">
        <w:rPr>
          <w:rFonts w:ascii="Arial" w:hAnsi="Arial" w:cs="Arial"/>
          <w:sz w:val="24"/>
          <w:szCs w:val="24"/>
        </w:rPr>
        <w:t>− L’indicizzazione/codifica</w:t>
      </w:r>
    </w:p>
    <w:p w:rsidR="009C60E2" w:rsidRPr="009C60E2" w:rsidRDefault="004025AF" w:rsidP="009C60E2">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 xml:space="preserve">       </w:t>
      </w:r>
      <w:r w:rsidR="009C60E2" w:rsidRPr="009C60E2">
        <w:rPr>
          <w:rFonts w:ascii="Arial" w:hAnsi="Arial" w:cs="Arial"/>
          <w:sz w:val="24"/>
          <w:szCs w:val="24"/>
        </w:rPr>
        <w:t>− La triangolazione</w:t>
      </w:r>
    </w:p>
    <w:p w:rsidR="009C60E2" w:rsidRPr="004025AF" w:rsidRDefault="009C60E2" w:rsidP="004025AF">
      <w:pPr>
        <w:pStyle w:val="Paragrafoelenco"/>
        <w:numPr>
          <w:ilvl w:val="0"/>
          <w:numId w:val="2"/>
        </w:numPr>
        <w:autoSpaceDE w:val="0"/>
        <w:autoSpaceDN w:val="0"/>
        <w:adjustRightInd w:val="0"/>
        <w:spacing w:after="0" w:line="240" w:lineRule="auto"/>
        <w:rPr>
          <w:rFonts w:ascii="Arial" w:hAnsi="Arial" w:cs="Arial"/>
          <w:sz w:val="24"/>
          <w:szCs w:val="24"/>
        </w:rPr>
      </w:pPr>
      <w:r w:rsidRPr="004025AF">
        <w:rPr>
          <w:rFonts w:ascii="Arial" w:hAnsi="Arial" w:cs="Arial"/>
          <w:sz w:val="24"/>
          <w:szCs w:val="24"/>
        </w:rPr>
        <w:t xml:space="preserve">La stesura del resoconto e il </w:t>
      </w:r>
      <w:proofErr w:type="spellStart"/>
      <w:r w:rsidRPr="004025AF">
        <w:rPr>
          <w:rFonts w:ascii="Arial" w:hAnsi="Arial" w:cs="Arial"/>
          <w:sz w:val="24"/>
          <w:szCs w:val="24"/>
        </w:rPr>
        <w:t>back-talk</w:t>
      </w:r>
      <w:proofErr w:type="spellEnd"/>
    </w:p>
    <w:p w:rsidR="004025AF" w:rsidRPr="004025AF" w:rsidRDefault="004025AF" w:rsidP="004025AF">
      <w:pPr>
        <w:pStyle w:val="Paragrafoelenco"/>
        <w:autoSpaceDE w:val="0"/>
        <w:autoSpaceDN w:val="0"/>
        <w:adjustRightInd w:val="0"/>
        <w:spacing w:after="0" w:line="240" w:lineRule="auto"/>
        <w:rPr>
          <w:rFonts w:ascii="Arial" w:hAnsi="Arial" w:cs="Arial"/>
          <w:sz w:val="24"/>
          <w:szCs w:val="24"/>
        </w:rPr>
      </w:pPr>
    </w:p>
    <w:p w:rsidR="00A32A76" w:rsidRDefault="004025AF" w:rsidP="009F3B7D">
      <w:pPr>
        <w:shd w:val="clear" w:color="auto" w:fill="FFFFFF" w:themeFill="background1"/>
        <w:autoSpaceDE w:val="0"/>
        <w:autoSpaceDN w:val="0"/>
        <w:adjustRightInd w:val="0"/>
        <w:spacing w:after="0" w:line="240" w:lineRule="auto"/>
        <w:rPr>
          <w:rFonts w:ascii="Arial" w:hAnsi="Arial" w:cs="Arial"/>
          <w:sz w:val="24"/>
          <w:szCs w:val="24"/>
        </w:rPr>
      </w:pPr>
      <w:hyperlink r:id="rId10" w:anchor="yin93" w:history="1">
        <w:proofErr w:type="spellStart"/>
        <w:r w:rsidRPr="009F3B7D">
          <w:rPr>
            <w:rStyle w:val="Collegamentoipertestuale"/>
            <w:rFonts w:ascii="Arial" w:hAnsi="Arial" w:cs="Arial"/>
            <w:sz w:val="24"/>
            <w:szCs w:val="24"/>
            <w:shd w:val="clear" w:color="auto" w:fill="FFFFFF"/>
          </w:rPr>
          <w:t>Yin</w:t>
        </w:r>
        <w:proofErr w:type="spellEnd"/>
      </w:hyperlink>
      <w:r w:rsidRPr="009F3B7D">
        <w:rPr>
          <w:rFonts w:ascii="Arial" w:hAnsi="Arial" w:cs="Arial"/>
          <w:sz w:val="24"/>
          <w:szCs w:val="24"/>
          <w:shd w:val="clear" w:color="auto" w:fill="FFFFFF"/>
        </w:rPr>
        <w:t xml:space="preserve"> (1993) ha individuato alcune specifiche tipologie di studi di caso: </w:t>
      </w:r>
      <w:r w:rsidRPr="009F3B7D">
        <w:rPr>
          <w:rFonts w:ascii="Arial" w:hAnsi="Arial" w:cs="Arial"/>
          <w:i/>
          <w:iCs/>
          <w:sz w:val="24"/>
          <w:szCs w:val="24"/>
          <w:shd w:val="clear" w:color="auto" w:fill="FFFFFF"/>
        </w:rPr>
        <w:t>esplorativo, esplicativa</w:t>
      </w:r>
      <w:r w:rsidRPr="009F3B7D">
        <w:rPr>
          <w:rFonts w:ascii="Arial" w:hAnsi="Arial" w:cs="Arial"/>
          <w:sz w:val="24"/>
          <w:szCs w:val="24"/>
          <w:shd w:val="clear" w:color="auto" w:fill="FFFFFF"/>
        </w:rPr>
        <w:t xml:space="preserve"> e </w:t>
      </w:r>
      <w:r w:rsidRPr="009F3B7D">
        <w:rPr>
          <w:rFonts w:ascii="Arial" w:hAnsi="Arial" w:cs="Arial"/>
          <w:i/>
          <w:iCs/>
          <w:sz w:val="24"/>
          <w:szCs w:val="24"/>
          <w:shd w:val="clear" w:color="auto" w:fill="FFFFFF"/>
        </w:rPr>
        <w:t>descrittiva.</w:t>
      </w:r>
      <w:r w:rsidRPr="009F3B7D">
        <w:rPr>
          <w:rFonts w:ascii="Arial" w:hAnsi="Arial" w:cs="Arial"/>
          <w:sz w:val="24"/>
          <w:szCs w:val="24"/>
          <w:shd w:val="clear" w:color="auto" w:fill="FFFFFF"/>
        </w:rPr>
        <w:t xml:space="preserve"> </w:t>
      </w:r>
      <w:hyperlink r:id="rId11" w:anchor="stake" w:history="1">
        <w:proofErr w:type="spellStart"/>
        <w:r w:rsidRPr="009F3B7D">
          <w:rPr>
            <w:rStyle w:val="Collegamentoipertestuale"/>
            <w:rFonts w:ascii="Arial" w:hAnsi="Arial" w:cs="Arial"/>
            <w:sz w:val="24"/>
            <w:szCs w:val="24"/>
            <w:shd w:val="clear" w:color="auto" w:fill="FFFFFF"/>
          </w:rPr>
          <w:t>Stake</w:t>
        </w:r>
        <w:proofErr w:type="spellEnd"/>
      </w:hyperlink>
      <w:r w:rsidRPr="009F3B7D">
        <w:rPr>
          <w:rFonts w:ascii="Arial" w:hAnsi="Arial" w:cs="Arial"/>
          <w:sz w:val="24"/>
          <w:szCs w:val="24"/>
          <w:shd w:val="clear" w:color="auto" w:fill="FFFFFF"/>
        </w:rPr>
        <w:t xml:space="preserve"> (1995) inclusi altri tre: </w:t>
      </w:r>
      <w:r w:rsidRPr="009F3B7D">
        <w:rPr>
          <w:rFonts w:ascii="Arial" w:hAnsi="Arial" w:cs="Arial"/>
          <w:i/>
          <w:iCs/>
          <w:sz w:val="24"/>
          <w:szCs w:val="24"/>
          <w:shd w:val="clear" w:color="auto" w:fill="FFFFFF"/>
        </w:rPr>
        <w:t>intrinseca</w:t>
      </w:r>
      <w:r w:rsidRPr="009F3B7D">
        <w:rPr>
          <w:rFonts w:ascii="Arial" w:hAnsi="Arial" w:cs="Arial"/>
          <w:sz w:val="24"/>
          <w:szCs w:val="24"/>
          <w:shd w:val="clear" w:color="auto" w:fill="FFFFFF"/>
        </w:rPr>
        <w:t xml:space="preserve"> - quando il ricercatore ha un interesse in caso; </w:t>
      </w:r>
      <w:r w:rsidRPr="009F3B7D">
        <w:rPr>
          <w:rFonts w:ascii="Arial" w:hAnsi="Arial" w:cs="Arial"/>
          <w:i/>
          <w:iCs/>
          <w:sz w:val="24"/>
          <w:szCs w:val="24"/>
          <w:shd w:val="clear" w:color="auto" w:fill="FFFFFF"/>
        </w:rPr>
        <w:t>Strumentale</w:t>
      </w:r>
      <w:r w:rsidRPr="009F3B7D">
        <w:rPr>
          <w:rFonts w:ascii="Arial" w:hAnsi="Arial" w:cs="Arial"/>
          <w:sz w:val="24"/>
          <w:szCs w:val="24"/>
          <w:shd w:val="clear" w:color="auto" w:fill="FFFFFF"/>
        </w:rPr>
        <w:t xml:space="preserve"> - quando il caso viene utilizzato per capire di più quello</w:t>
      </w:r>
      <w:r w:rsidRPr="004025AF">
        <w:rPr>
          <w:rFonts w:ascii="Arial" w:hAnsi="Arial" w:cs="Arial"/>
          <w:sz w:val="24"/>
          <w:szCs w:val="24"/>
          <w:shd w:val="clear" w:color="auto" w:fill="E6ECF9"/>
        </w:rPr>
        <w:t xml:space="preserve"> </w:t>
      </w:r>
      <w:r w:rsidRPr="009F3B7D">
        <w:rPr>
          <w:rFonts w:ascii="Arial" w:hAnsi="Arial" w:cs="Arial"/>
          <w:sz w:val="24"/>
          <w:szCs w:val="24"/>
          <w:shd w:val="clear" w:color="auto" w:fill="F9FAFD"/>
        </w:rPr>
        <w:t xml:space="preserve">che è evidente per l'osservatore; </w:t>
      </w:r>
      <w:r w:rsidRPr="009F3B7D">
        <w:rPr>
          <w:rFonts w:ascii="Arial" w:hAnsi="Arial" w:cs="Arial"/>
          <w:i/>
          <w:iCs/>
          <w:sz w:val="24"/>
          <w:szCs w:val="24"/>
          <w:shd w:val="clear" w:color="auto" w:fill="F9FAFD"/>
        </w:rPr>
        <w:t>collettiva</w:t>
      </w:r>
      <w:r w:rsidRPr="009F3B7D">
        <w:rPr>
          <w:rFonts w:ascii="Arial" w:hAnsi="Arial" w:cs="Arial"/>
          <w:sz w:val="24"/>
          <w:szCs w:val="24"/>
          <w:shd w:val="clear" w:color="auto" w:fill="F9FAFD"/>
        </w:rPr>
        <w:t xml:space="preserve"> - quando un gruppo di casi è studiato. </w:t>
      </w:r>
      <w:r w:rsidRPr="009F3B7D">
        <w:rPr>
          <w:rStyle w:val="google-src-text1"/>
          <w:rFonts w:ascii="Arial" w:hAnsi="Arial" w:cs="Arial"/>
          <w:sz w:val="24"/>
          <w:szCs w:val="24"/>
          <w:shd w:val="clear" w:color="auto" w:fill="F9FAFD"/>
        </w:rPr>
        <w:t>Exploratory cases are sometimes considered as a prelude to social research.</w:t>
      </w:r>
      <w:r w:rsidRPr="009F3B7D">
        <w:rPr>
          <w:rFonts w:ascii="Arial" w:hAnsi="Arial" w:cs="Arial"/>
          <w:sz w:val="24"/>
          <w:szCs w:val="24"/>
          <w:shd w:val="clear" w:color="auto" w:fill="F9FAFD"/>
        </w:rPr>
        <w:t xml:space="preserve"> </w:t>
      </w:r>
    </w:p>
    <w:p w:rsidR="009C60E2" w:rsidRDefault="004025AF" w:rsidP="009F3B7D">
      <w:pPr>
        <w:shd w:val="clear" w:color="auto" w:fill="FFFFFF" w:themeFill="background1"/>
        <w:autoSpaceDE w:val="0"/>
        <w:autoSpaceDN w:val="0"/>
        <w:adjustRightInd w:val="0"/>
        <w:spacing w:after="0" w:line="240" w:lineRule="auto"/>
        <w:rPr>
          <w:rFonts w:ascii="Arial" w:hAnsi="Arial" w:cs="Arial"/>
          <w:sz w:val="24"/>
          <w:szCs w:val="24"/>
        </w:rPr>
      </w:pPr>
      <w:r w:rsidRPr="004025AF">
        <w:rPr>
          <w:rStyle w:val="google-src-text1"/>
          <w:rFonts w:ascii="Arial" w:hAnsi="Arial" w:cs="Arial"/>
          <w:sz w:val="24"/>
          <w:szCs w:val="24"/>
        </w:rPr>
        <w:t xml:space="preserve">Descriptive cases require a descriptive theory to be developed before starting the project. </w:t>
      </w:r>
      <w:hyperlink r:id="rId12" w:anchor="pyecha" w:history="1">
        <w:r w:rsidRPr="004025AF">
          <w:rPr>
            <w:rStyle w:val="Collegamentoipertestuale"/>
            <w:rFonts w:ascii="Arial" w:hAnsi="Arial" w:cs="Arial"/>
            <w:vanish/>
            <w:sz w:val="24"/>
            <w:szCs w:val="24"/>
          </w:rPr>
          <w:t>Pyecha</w:t>
        </w:r>
      </w:hyperlink>
      <w:r w:rsidRPr="004025AF">
        <w:rPr>
          <w:rStyle w:val="google-src-text1"/>
          <w:rFonts w:ascii="Arial" w:hAnsi="Arial" w:cs="Arial"/>
          <w:sz w:val="24"/>
          <w:szCs w:val="24"/>
        </w:rPr>
        <w:t xml:space="preserve"> (1988) used this methodology in a special education study, using a pattern-matching procedure.</w:t>
      </w:r>
      <w:hyperlink r:id="rId13" w:anchor="pyecha" w:history="1">
        <w:proofErr w:type="spellStart"/>
        <w:r w:rsidRPr="004025AF">
          <w:rPr>
            <w:rStyle w:val="Collegamentoipertestuale"/>
            <w:rFonts w:ascii="Arial" w:hAnsi="Arial" w:cs="Arial"/>
            <w:sz w:val="24"/>
            <w:szCs w:val="24"/>
          </w:rPr>
          <w:t>Pyecha</w:t>
        </w:r>
        <w:proofErr w:type="spellEnd"/>
      </w:hyperlink>
      <w:r w:rsidRPr="004025AF">
        <w:rPr>
          <w:rFonts w:ascii="Arial" w:hAnsi="Arial" w:cs="Arial"/>
          <w:sz w:val="24"/>
          <w:szCs w:val="24"/>
        </w:rPr>
        <w:t xml:space="preserve"> (1988) ha usato questo metodo in un apposito studio di istruzione, sulla base di un </w:t>
      </w:r>
      <w:proofErr w:type="spellStart"/>
      <w:r w:rsidRPr="004025AF">
        <w:rPr>
          <w:rFonts w:ascii="Arial" w:hAnsi="Arial" w:cs="Arial"/>
          <w:sz w:val="24"/>
          <w:szCs w:val="24"/>
        </w:rPr>
        <w:t>pattern-matching</w:t>
      </w:r>
      <w:proofErr w:type="spellEnd"/>
      <w:r w:rsidRPr="004025AF">
        <w:rPr>
          <w:rFonts w:ascii="Arial" w:hAnsi="Arial" w:cs="Arial"/>
          <w:sz w:val="24"/>
          <w:szCs w:val="24"/>
        </w:rPr>
        <w:t xml:space="preserve"> procedura.</w:t>
      </w:r>
    </w:p>
    <w:p w:rsidR="00BF1942" w:rsidRPr="00BF1942" w:rsidRDefault="00BF1942" w:rsidP="00BF1942">
      <w:pPr>
        <w:pStyle w:val="NormaleWeb"/>
        <w:rPr>
          <w:rFonts w:ascii="Arial" w:hAnsi="Arial" w:cs="Arial"/>
        </w:rPr>
      </w:pPr>
      <w:r w:rsidRPr="00BF1942">
        <w:rPr>
          <w:rFonts w:ascii="Arial" w:hAnsi="Arial" w:cs="Arial"/>
        </w:rPr>
        <w:t xml:space="preserve">Caso di studio è conosciuto come </w:t>
      </w:r>
      <w:proofErr w:type="gramStart"/>
      <w:r w:rsidRPr="00BF1942">
        <w:rPr>
          <w:rFonts w:ascii="Arial" w:hAnsi="Arial" w:cs="Arial"/>
        </w:rPr>
        <w:t>uno</w:t>
      </w:r>
      <w:proofErr w:type="gramEnd"/>
      <w:r w:rsidRPr="00BF1942">
        <w:rPr>
          <w:rFonts w:ascii="Arial" w:hAnsi="Arial" w:cs="Arial"/>
        </w:rPr>
        <w:t xml:space="preserve"> </w:t>
      </w:r>
      <w:proofErr w:type="spellStart"/>
      <w:r w:rsidRPr="00BF1942">
        <w:rPr>
          <w:rFonts w:ascii="Arial" w:hAnsi="Arial" w:cs="Arial"/>
        </w:rPr>
        <w:t>triangulated</w:t>
      </w:r>
      <w:proofErr w:type="spellEnd"/>
      <w:r w:rsidRPr="00BF1942">
        <w:rPr>
          <w:rFonts w:ascii="Arial" w:hAnsi="Arial" w:cs="Arial"/>
        </w:rPr>
        <w:t xml:space="preserve"> strategia di ricerca. </w:t>
      </w:r>
      <w:r w:rsidRPr="00BF1942">
        <w:rPr>
          <w:rStyle w:val="google-src-text1"/>
          <w:rFonts w:ascii="Arial" w:hAnsi="Arial" w:cs="Arial"/>
        </w:rPr>
        <w:t xml:space="preserve">Snow and Anderson (cited in </w:t>
      </w:r>
      <w:hyperlink r:id="rId14" w:anchor="feagin" w:history="1">
        <w:r w:rsidRPr="00BF1942">
          <w:rPr>
            <w:rStyle w:val="Collegamentoipertestuale"/>
            <w:rFonts w:ascii="Arial" w:hAnsi="Arial" w:cs="Arial"/>
            <w:vanish/>
          </w:rPr>
          <w:t>Feagin, Orum, &amp; Sjoberg</w:t>
        </w:r>
      </w:hyperlink>
      <w:r w:rsidRPr="00BF1942">
        <w:rPr>
          <w:rStyle w:val="google-src-text1"/>
          <w:rFonts w:ascii="Arial" w:hAnsi="Arial" w:cs="Arial"/>
        </w:rPr>
        <w:t xml:space="preserve"> , 1991) asserted that triangulation can occur with data, investigators, theories, and even methodologies. </w:t>
      </w:r>
      <w:hyperlink r:id="rId15" w:anchor="stake" w:history="1">
        <w:r w:rsidRPr="00BF1942">
          <w:rPr>
            <w:rStyle w:val="Collegamentoipertestuale"/>
            <w:rFonts w:ascii="Arial" w:hAnsi="Arial" w:cs="Arial"/>
            <w:vanish/>
          </w:rPr>
          <w:t>Stake</w:t>
        </w:r>
      </w:hyperlink>
      <w:r w:rsidRPr="00BF1942">
        <w:rPr>
          <w:rStyle w:val="google-src-text1"/>
          <w:rFonts w:ascii="Arial" w:hAnsi="Arial" w:cs="Arial"/>
        </w:rPr>
        <w:t xml:space="preserve"> (1995) stated that the protocols that are used to ensure accuracy and alternative explanations are called triangulation.</w:t>
      </w:r>
      <w:r w:rsidRPr="00BF1942">
        <w:rPr>
          <w:rFonts w:ascii="Arial" w:hAnsi="Arial" w:cs="Arial"/>
        </w:rPr>
        <w:t xml:space="preserve"> Neve e Anderson (cit. in </w:t>
      </w:r>
      <w:hyperlink r:id="rId16" w:anchor="feagin" w:history="1">
        <w:proofErr w:type="spellStart"/>
        <w:r w:rsidRPr="00BF1942">
          <w:rPr>
            <w:rStyle w:val="Collegamentoipertestuale"/>
            <w:rFonts w:ascii="Arial" w:hAnsi="Arial" w:cs="Arial"/>
          </w:rPr>
          <w:t>Feagin</w:t>
        </w:r>
        <w:proofErr w:type="spellEnd"/>
        <w:r w:rsidRPr="00BF1942">
          <w:rPr>
            <w:rStyle w:val="Collegamentoipertestuale"/>
            <w:rFonts w:ascii="Arial" w:hAnsi="Arial" w:cs="Arial"/>
          </w:rPr>
          <w:t xml:space="preserve">, </w:t>
        </w:r>
        <w:proofErr w:type="spellStart"/>
        <w:r w:rsidRPr="00BF1942">
          <w:rPr>
            <w:rStyle w:val="Collegamentoipertestuale"/>
            <w:rFonts w:ascii="Arial" w:hAnsi="Arial" w:cs="Arial"/>
          </w:rPr>
          <w:t>orum</w:t>
        </w:r>
        <w:proofErr w:type="spellEnd"/>
        <w:r w:rsidRPr="00BF1942">
          <w:rPr>
            <w:rStyle w:val="Collegamentoipertestuale"/>
            <w:rFonts w:ascii="Arial" w:hAnsi="Arial" w:cs="Arial"/>
          </w:rPr>
          <w:t xml:space="preserve">, &amp; </w:t>
        </w:r>
        <w:proofErr w:type="spellStart"/>
        <w:r w:rsidRPr="00BF1942">
          <w:rPr>
            <w:rStyle w:val="Collegamentoipertestuale"/>
            <w:rFonts w:ascii="Arial" w:hAnsi="Arial" w:cs="Arial"/>
          </w:rPr>
          <w:t>Sjöberg</w:t>
        </w:r>
        <w:proofErr w:type="spellEnd"/>
        <w:r w:rsidRPr="00BF1942">
          <w:rPr>
            <w:rStyle w:val="Collegamentoipertestuale"/>
            <w:rFonts w:ascii="Arial" w:hAnsi="Arial" w:cs="Arial"/>
          </w:rPr>
          <w:t>,</w:t>
        </w:r>
      </w:hyperlink>
      <w:r w:rsidRPr="00BF1942">
        <w:rPr>
          <w:rFonts w:ascii="Arial" w:hAnsi="Arial" w:cs="Arial"/>
        </w:rPr>
        <w:t xml:space="preserve"> 1991) ha affermato che la triangolazione può verificarsi con i dati, gli investigatori, teorie, metodologie e persino</w:t>
      </w:r>
      <w:r w:rsidR="00153204">
        <w:rPr>
          <w:rFonts w:ascii="Arial" w:hAnsi="Arial" w:cs="Arial"/>
        </w:rPr>
        <w:t xml:space="preserve"> </w:t>
      </w:r>
      <w:hyperlink r:id="rId17" w:anchor="stake" w:history="1">
        <w:proofErr w:type="spellStart"/>
        <w:r w:rsidRPr="00BF1942">
          <w:rPr>
            <w:rStyle w:val="Collegamentoipertestuale"/>
            <w:rFonts w:ascii="Arial" w:hAnsi="Arial" w:cs="Arial"/>
          </w:rPr>
          <w:t>Stake</w:t>
        </w:r>
        <w:proofErr w:type="spellEnd"/>
      </w:hyperlink>
      <w:r w:rsidRPr="00BF1942">
        <w:rPr>
          <w:rFonts w:ascii="Arial" w:hAnsi="Arial" w:cs="Arial"/>
        </w:rPr>
        <w:t xml:space="preserve"> (1995) ha affermato che i protocolli che vengono utilizzati per garantire l'accuratezza e spiegazioni alternative sono chiamati triangolazione. </w:t>
      </w:r>
      <w:r w:rsidRPr="00BF1942">
        <w:rPr>
          <w:rStyle w:val="google-src-text1"/>
          <w:rFonts w:ascii="Arial" w:hAnsi="Arial" w:cs="Arial"/>
        </w:rPr>
        <w:t>The need for triangulation arises from the ethical need to confirm the validity of the processes.</w:t>
      </w:r>
      <w:r w:rsidRPr="00BF1942">
        <w:rPr>
          <w:rFonts w:ascii="Arial" w:hAnsi="Arial" w:cs="Arial"/>
        </w:rPr>
        <w:t xml:space="preserve"> La necessità di triangolazione nasce dalla necessità etica di confermare la validità dei processi. </w:t>
      </w:r>
      <w:r w:rsidRPr="00BF1942">
        <w:rPr>
          <w:rStyle w:val="google-src-text1"/>
          <w:rFonts w:ascii="Arial" w:hAnsi="Arial" w:cs="Arial"/>
        </w:rPr>
        <w:t xml:space="preserve">In case studies, this could be done by using multiple sources of data ( </w:t>
      </w:r>
      <w:hyperlink r:id="rId18" w:anchor="yin84" w:history="1">
        <w:r w:rsidRPr="00BF1942">
          <w:rPr>
            <w:rStyle w:val="Collegamentoipertestuale"/>
            <w:rFonts w:ascii="Arial" w:hAnsi="Arial" w:cs="Arial"/>
            <w:vanish/>
          </w:rPr>
          <w:t>Yin</w:t>
        </w:r>
      </w:hyperlink>
      <w:r w:rsidRPr="00BF1942">
        <w:rPr>
          <w:rStyle w:val="google-src-text1"/>
          <w:rFonts w:ascii="Arial" w:hAnsi="Arial" w:cs="Arial"/>
        </w:rPr>
        <w:t xml:space="preserve"> , 1984).</w:t>
      </w:r>
      <w:r w:rsidRPr="00BF1942">
        <w:rPr>
          <w:rFonts w:ascii="Arial" w:hAnsi="Arial" w:cs="Arial"/>
        </w:rPr>
        <w:t xml:space="preserve"> Nel caso in cui gli studi, questo potrebbe essere realizzato con l'utilizzo di più fonti di dati </w:t>
      </w:r>
      <w:hyperlink r:id="rId19" w:anchor="yin84" w:history="1">
        <w:r w:rsidRPr="00BF1942">
          <w:rPr>
            <w:rStyle w:val="Collegamentoipertestuale"/>
            <w:rFonts w:ascii="Arial" w:hAnsi="Arial" w:cs="Arial"/>
          </w:rPr>
          <w:t>(</w:t>
        </w:r>
        <w:proofErr w:type="spellStart"/>
        <w:r w:rsidRPr="00BF1942">
          <w:rPr>
            <w:rStyle w:val="Collegamentoipertestuale"/>
            <w:rFonts w:ascii="Arial" w:hAnsi="Arial" w:cs="Arial"/>
          </w:rPr>
          <w:t>Yin</w:t>
        </w:r>
        <w:proofErr w:type="spellEnd"/>
        <w:r w:rsidRPr="00BF1942">
          <w:rPr>
            <w:rStyle w:val="Collegamentoipertestuale"/>
            <w:rFonts w:ascii="Arial" w:hAnsi="Arial" w:cs="Arial"/>
          </w:rPr>
          <w:t>,</w:t>
        </w:r>
      </w:hyperlink>
      <w:r w:rsidRPr="00BF1942">
        <w:rPr>
          <w:rFonts w:ascii="Arial" w:hAnsi="Arial" w:cs="Arial"/>
        </w:rPr>
        <w:t xml:space="preserve"> 1984). </w:t>
      </w:r>
      <w:r w:rsidRPr="00BF1942">
        <w:rPr>
          <w:rStyle w:val="google-src-text1"/>
          <w:rFonts w:ascii="Arial" w:hAnsi="Arial" w:cs="Arial"/>
        </w:rPr>
        <w:t>The problem in case studies is to establish meaning rather than location.</w:t>
      </w:r>
      <w:r w:rsidR="00A32A76">
        <w:rPr>
          <w:rFonts w:ascii="Arial" w:hAnsi="Arial" w:cs="Arial"/>
        </w:rPr>
        <w:t xml:space="preserve"> </w:t>
      </w:r>
    </w:p>
    <w:p w:rsidR="00BF1942" w:rsidRPr="00BF1942" w:rsidRDefault="00BF1942" w:rsidP="00BF1942">
      <w:pPr>
        <w:pStyle w:val="NormaleWeb"/>
        <w:rPr>
          <w:rFonts w:ascii="Arial" w:hAnsi="Arial" w:cs="Arial"/>
        </w:rPr>
      </w:pPr>
      <w:hyperlink r:id="rId20" w:anchor="denzin" w:history="1">
        <w:r w:rsidRPr="00BF1942">
          <w:rPr>
            <w:rStyle w:val="Collegamentoipertestuale"/>
            <w:rFonts w:ascii="Arial" w:hAnsi="Arial" w:cs="Arial"/>
            <w:vanish/>
          </w:rPr>
          <w:t>Denzin</w:t>
        </w:r>
      </w:hyperlink>
      <w:r w:rsidRPr="00BF1942">
        <w:rPr>
          <w:rStyle w:val="google-src-text1"/>
          <w:rFonts w:ascii="Arial" w:hAnsi="Arial" w:cs="Arial"/>
        </w:rPr>
        <w:t xml:space="preserve"> (1984) identified four types of triangulation: </w:t>
      </w:r>
      <w:r w:rsidRPr="00BF1942">
        <w:rPr>
          <w:rStyle w:val="google-src-text1"/>
          <w:rFonts w:ascii="Arial" w:hAnsi="Arial" w:cs="Arial"/>
          <w:i/>
          <w:iCs/>
        </w:rPr>
        <w:t>Data source triangulation</w:t>
      </w:r>
      <w:r w:rsidRPr="00BF1942">
        <w:rPr>
          <w:rStyle w:val="google-src-text1"/>
          <w:rFonts w:ascii="Arial" w:hAnsi="Arial" w:cs="Arial"/>
        </w:rPr>
        <w:t xml:space="preserve"> , when the researcher looks for the data to remain the same in different contexts; </w:t>
      </w:r>
      <w:r w:rsidRPr="00BF1942">
        <w:rPr>
          <w:rStyle w:val="google-src-text1"/>
          <w:rFonts w:ascii="Arial" w:hAnsi="Arial" w:cs="Arial"/>
          <w:i/>
          <w:iCs/>
        </w:rPr>
        <w:t>Investigator triangulation</w:t>
      </w:r>
      <w:r w:rsidRPr="00BF1942">
        <w:rPr>
          <w:rStyle w:val="google-src-text1"/>
          <w:rFonts w:ascii="Arial" w:hAnsi="Arial" w:cs="Arial"/>
        </w:rPr>
        <w:t xml:space="preserve"> , when several investigators examine the same phenomenon; </w:t>
      </w:r>
      <w:r w:rsidRPr="00BF1942">
        <w:rPr>
          <w:rStyle w:val="google-src-text1"/>
          <w:rFonts w:ascii="Arial" w:hAnsi="Arial" w:cs="Arial"/>
          <w:i/>
          <w:iCs/>
        </w:rPr>
        <w:t>Theory triangulation</w:t>
      </w:r>
      <w:r w:rsidRPr="00BF1942">
        <w:rPr>
          <w:rStyle w:val="google-src-text1"/>
          <w:rFonts w:ascii="Arial" w:hAnsi="Arial" w:cs="Arial"/>
        </w:rPr>
        <w:t xml:space="preserve"> , when investigators with different view points interpret the same results; and </w:t>
      </w:r>
      <w:r w:rsidRPr="00BF1942">
        <w:rPr>
          <w:rStyle w:val="google-src-text1"/>
          <w:rFonts w:ascii="Arial" w:hAnsi="Arial" w:cs="Arial"/>
          <w:i/>
          <w:iCs/>
        </w:rPr>
        <w:t>Methodological triangulation</w:t>
      </w:r>
      <w:r w:rsidRPr="00BF1942">
        <w:rPr>
          <w:rStyle w:val="google-src-text1"/>
          <w:rFonts w:ascii="Arial" w:hAnsi="Arial" w:cs="Arial"/>
        </w:rPr>
        <w:t xml:space="preserve"> , when one approach is followed by another, to increase confidence in the interpretation.</w:t>
      </w:r>
      <w:hyperlink r:id="rId21" w:anchor="denzin" w:history="1">
        <w:proofErr w:type="spellStart"/>
        <w:r w:rsidRPr="00BF1942">
          <w:rPr>
            <w:rStyle w:val="Collegamentoipertestuale"/>
            <w:rFonts w:ascii="Arial" w:hAnsi="Arial" w:cs="Arial"/>
          </w:rPr>
          <w:t>Denzin</w:t>
        </w:r>
        <w:proofErr w:type="spellEnd"/>
      </w:hyperlink>
      <w:r w:rsidRPr="00BF1942">
        <w:rPr>
          <w:rFonts w:ascii="Arial" w:hAnsi="Arial" w:cs="Arial"/>
        </w:rPr>
        <w:t xml:space="preserve"> (1984) ha individuato quattro tipi di triangolazione: </w:t>
      </w:r>
      <w:r w:rsidRPr="00BF1942">
        <w:rPr>
          <w:rFonts w:ascii="Arial" w:hAnsi="Arial" w:cs="Arial"/>
          <w:i/>
          <w:iCs/>
        </w:rPr>
        <w:t>Fonte dei dati di triangolazione,</w:t>
      </w:r>
      <w:r w:rsidRPr="00BF1942">
        <w:rPr>
          <w:rFonts w:ascii="Arial" w:hAnsi="Arial" w:cs="Arial"/>
        </w:rPr>
        <w:t xml:space="preserve"> quando il ricercatore cerca i dati rimangono gli stessi in contesti diversi; </w:t>
      </w:r>
      <w:proofErr w:type="spellStart"/>
      <w:r w:rsidRPr="00BF1942">
        <w:rPr>
          <w:rFonts w:ascii="Arial" w:hAnsi="Arial" w:cs="Arial"/>
          <w:i/>
          <w:iCs/>
        </w:rPr>
        <w:t>Investigator</w:t>
      </w:r>
      <w:proofErr w:type="spellEnd"/>
      <w:r w:rsidRPr="00BF1942">
        <w:rPr>
          <w:rFonts w:ascii="Arial" w:hAnsi="Arial" w:cs="Arial"/>
          <w:i/>
          <w:iCs/>
        </w:rPr>
        <w:t xml:space="preserve"> triangolazione,</w:t>
      </w:r>
      <w:r w:rsidRPr="00BF1942">
        <w:rPr>
          <w:rFonts w:ascii="Arial" w:hAnsi="Arial" w:cs="Arial"/>
        </w:rPr>
        <w:t xml:space="preserve"> quando molti investigatori esaminare lo stesso fenomeno; </w:t>
      </w:r>
      <w:r w:rsidRPr="00BF1942">
        <w:rPr>
          <w:rFonts w:ascii="Arial" w:hAnsi="Arial" w:cs="Arial"/>
          <w:i/>
          <w:iCs/>
        </w:rPr>
        <w:t>Teoria triangolazione,</w:t>
      </w:r>
      <w:r w:rsidRPr="00BF1942">
        <w:rPr>
          <w:rFonts w:ascii="Arial" w:hAnsi="Arial" w:cs="Arial"/>
        </w:rPr>
        <w:t xml:space="preserve"> quando gli investigatori con diversi punti di vista interpretare gli stessi risultati, e </w:t>
      </w:r>
      <w:r w:rsidRPr="00BF1942">
        <w:rPr>
          <w:rFonts w:ascii="Arial" w:hAnsi="Arial" w:cs="Arial"/>
          <w:i/>
          <w:iCs/>
        </w:rPr>
        <w:t>la triangolazione metodologica,</w:t>
      </w:r>
      <w:r w:rsidRPr="00BF1942">
        <w:rPr>
          <w:rFonts w:ascii="Arial" w:hAnsi="Arial" w:cs="Arial"/>
        </w:rPr>
        <w:t xml:space="preserve"> quando uno è seguita da un altro, per aumentare la fiducia in sede di interpretazione. </w:t>
      </w:r>
    </w:p>
    <w:p w:rsidR="00BF1942" w:rsidRPr="00C4099E" w:rsidRDefault="00BF1942" w:rsidP="00BF1942">
      <w:pPr>
        <w:spacing w:before="100" w:beforeAutospacing="1" w:after="100" w:afterAutospacing="1" w:line="240" w:lineRule="auto"/>
        <w:rPr>
          <w:rFonts w:ascii="Arial" w:hAnsi="Arial" w:cs="Arial"/>
          <w:sz w:val="24"/>
          <w:szCs w:val="24"/>
        </w:rPr>
      </w:pPr>
    </w:p>
    <w:p w:rsidR="002649AB" w:rsidRPr="00F57971" w:rsidRDefault="002649AB" w:rsidP="00471C11">
      <w:pPr>
        <w:spacing w:before="100" w:beforeAutospacing="1" w:after="100" w:afterAutospacing="1" w:line="240" w:lineRule="auto"/>
        <w:ind w:left="360"/>
        <w:rPr>
          <w:rFonts w:ascii="Arial" w:hAnsi="Arial" w:cs="Arial"/>
          <w:sz w:val="24"/>
          <w:szCs w:val="24"/>
        </w:rPr>
      </w:pPr>
    </w:p>
    <w:sectPr w:rsidR="002649AB" w:rsidRPr="00F57971" w:rsidSect="00796D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6294D"/>
    <w:multiLevelType w:val="multilevel"/>
    <w:tmpl w:val="63BEE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6AB2ABD"/>
    <w:multiLevelType w:val="hybridMultilevel"/>
    <w:tmpl w:val="A796B868"/>
    <w:lvl w:ilvl="0" w:tplc="F112CFF0">
      <w:start w:val="1"/>
      <w:numFmt w:val="decimal"/>
      <w:lvlText w:val="%1."/>
      <w:lvlJc w:val="left"/>
      <w:pPr>
        <w:tabs>
          <w:tab w:val="num" w:pos="720"/>
        </w:tabs>
        <w:ind w:left="720" w:hanging="360"/>
      </w:pPr>
    </w:lvl>
    <w:lvl w:ilvl="1" w:tplc="ACD6FA76" w:tentative="1">
      <w:start w:val="1"/>
      <w:numFmt w:val="decimal"/>
      <w:lvlText w:val="%2."/>
      <w:lvlJc w:val="left"/>
      <w:pPr>
        <w:tabs>
          <w:tab w:val="num" w:pos="1440"/>
        </w:tabs>
        <w:ind w:left="1440" w:hanging="360"/>
      </w:pPr>
    </w:lvl>
    <w:lvl w:ilvl="2" w:tplc="09FA39D2" w:tentative="1">
      <w:start w:val="1"/>
      <w:numFmt w:val="decimal"/>
      <w:lvlText w:val="%3."/>
      <w:lvlJc w:val="left"/>
      <w:pPr>
        <w:tabs>
          <w:tab w:val="num" w:pos="2160"/>
        </w:tabs>
        <w:ind w:left="2160" w:hanging="360"/>
      </w:pPr>
    </w:lvl>
    <w:lvl w:ilvl="3" w:tplc="B3983BD6" w:tentative="1">
      <w:start w:val="1"/>
      <w:numFmt w:val="decimal"/>
      <w:lvlText w:val="%4."/>
      <w:lvlJc w:val="left"/>
      <w:pPr>
        <w:tabs>
          <w:tab w:val="num" w:pos="2880"/>
        </w:tabs>
        <w:ind w:left="2880" w:hanging="360"/>
      </w:pPr>
    </w:lvl>
    <w:lvl w:ilvl="4" w:tplc="10AE4CA6" w:tentative="1">
      <w:start w:val="1"/>
      <w:numFmt w:val="decimal"/>
      <w:lvlText w:val="%5."/>
      <w:lvlJc w:val="left"/>
      <w:pPr>
        <w:tabs>
          <w:tab w:val="num" w:pos="3600"/>
        </w:tabs>
        <w:ind w:left="3600" w:hanging="360"/>
      </w:pPr>
    </w:lvl>
    <w:lvl w:ilvl="5" w:tplc="F498098C" w:tentative="1">
      <w:start w:val="1"/>
      <w:numFmt w:val="decimal"/>
      <w:lvlText w:val="%6."/>
      <w:lvlJc w:val="left"/>
      <w:pPr>
        <w:tabs>
          <w:tab w:val="num" w:pos="4320"/>
        </w:tabs>
        <w:ind w:left="4320" w:hanging="360"/>
      </w:pPr>
    </w:lvl>
    <w:lvl w:ilvl="6" w:tplc="C382CAB2" w:tentative="1">
      <w:start w:val="1"/>
      <w:numFmt w:val="decimal"/>
      <w:lvlText w:val="%7."/>
      <w:lvlJc w:val="left"/>
      <w:pPr>
        <w:tabs>
          <w:tab w:val="num" w:pos="5040"/>
        </w:tabs>
        <w:ind w:left="5040" w:hanging="360"/>
      </w:pPr>
    </w:lvl>
    <w:lvl w:ilvl="7" w:tplc="8910CA1A" w:tentative="1">
      <w:start w:val="1"/>
      <w:numFmt w:val="decimal"/>
      <w:lvlText w:val="%8."/>
      <w:lvlJc w:val="left"/>
      <w:pPr>
        <w:tabs>
          <w:tab w:val="num" w:pos="5760"/>
        </w:tabs>
        <w:ind w:left="5760" w:hanging="360"/>
      </w:pPr>
    </w:lvl>
    <w:lvl w:ilvl="8" w:tplc="E4C2ABA8" w:tentative="1">
      <w:start w:val="1"/>
      <w:numFmt w:val="decimal"/>
      <w:lvlText w:val="%9."/>
      <w:lvlJc w:val="left"/>
      <w:pPr>
        <w:tabs>
          <w:tab w:val="num" w:pos="6480"/>
        </w:tabs>
        <w:ind w:left="6480" w:hanging="360"/>
      </w:pPr>
    </w:lvl>
  </w:abstractNum>
  <w:abstractNum w:abstractNumId="2">
    <w:nsid w:val="6CC8005B"/>
    <w:multiLevelType w:val="multilevel"/>
    <w:tmpl w:val="4A5C0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574F85"/>
    <w:multiLevelType w:val="hybridMultilevel"/>
    <w:tmpl w:val="B9A2F6B2"/>
    <w:lvl w:ilvl="0" w:tplc="B1CA0E7E">
      <w:start w:val="1"/>
      <w:numFmt w:val="decimal"/>
      <w:lvlText w:val="%1."/>
      <w:lvlJc w:val="left"/>
      <w:pPr>
        <w:tabs>
          <w:tab w:val="num" w:pos="720"/>
        </w:tabs>
        <w:ind w:left="720" w:hanging="360"/>
      </w:pPr>
    </w:lvl>
    <w:lvl w:ilvl="1" w:tplc="32CAC0F6" w:tentative="1">
      <w:start w:val="1"/>
      <w:numFmt w:val="decimal"/>
      <w:lvlText w:val="%2."/>
      <w:lvlJc w:val="left"/>
      <w:pPr>
        <w:tabs>
          <w:tab w:val="num" w:pos="1440"/>
        </w:tabs>
        <w:ind w:left="1440" w:hanging="360"/>
      </w:pPr>
    </w:lvl>
    <w:lvl w:ilvl="2" w:tplc="44224F62" w:tentative="1">
      <w:start w:val="1"/>
      <w:numFmt w:val="decimal"/>
      <w:lvlText w:val="%3."/>
      <w:lvlJc w:val="left"/>
      <w:pPr>
        <w:tabs>
          <w:tab w:val="num" w:pos="2160"/>
        </w:tabs>
        <w:ind w:left="2160" w:hanging="360"/>
      </w:pPr>
    </w:lvl>
    <w:lvl w:ilvl="3" w:tplc="F320CB5A" w:tentative="1">
      <w:start w:val="1"/>
      <w:numFmt w:val="decimal"/>
      <w:lvlText w:val="%4."/>
      <w:lvlJc w:val="left"/>
      <w:pPr>
        <w:tabs>
          <w:tab w:val="num" w:pos="2880"/>
        </w:tabs>
        <w:ind w:left="2880" w:hanging="360"/>
      </w:pPr>
    </w:lvl>
    <w:lvl w:ilvl="4" w:tplc="EECCD0B0" w:tentative="1">
      <w:start w:val="1"/>
      <w:numFmt w:val="decimal"/>
      <w:lvlText w:val="%5."/>
      <w:lvlJc w:val="left"/>
      <w:pPr>
        <w:tabs>
          <w:tab w:val="num" w:pos="3600"/>
        </w:tabs>
        <w:ind w:left="3600" w:hanging="360"/>
      </w:pPr>
    </w:lvl>
    <w:lvl w:ilvl="5" w:tplc="A40E2D5C" w:tentative="1">
      <w:start w:val="1"/>
      <w:numFmt w:val="decimal"/>
      <w:lvlText w:val="%6."/>
      <w:lvlJc w:val="left"/>
      <w:pPr>
        <w:tabs>
          <w:tab w:val="num" w:pos="4320"/>
        </w:tabs>
        <w:ind w:left="4320" w:hanging="360"/>
      </w:pPr>
    </w:lvl>
    <w:lvl w:ilvl="6" w:tplc="899A84BE" w:tentative="1">
      <w:start w:val="1"/>
      <w:numFmt w:val="decimal"/>
      <w:lvlText w:val="%7."/>
      <w:lvlJc w:val="left"/>
      <w:pPr>
        <w:tabs>
          <w:tab w:val="num" w:pos="5040"/>
        </w:tabs>
        <w:ind w:left="5040" w:hanging="360"/>
      </w:pPr>
    </w:lvl>
    <w:lvl w:ilvl="7" w:tplc="F0CE9AEE" w:tentative="1">
      <w:start w:val="1"/>
      <w:numFmt w:val="decimal"/>
      <w:lvlText w:val="%8."/>
      <w:lvlJc w:val="left"/>
      <w:pPr>
        <w:tabs>
          <w:tab w:val="num" w:pos="5760"/>
        </w:tabs>
        <w:ind w:left="5760" w:hanging="360"/>
      </w:pPr>
    </w:lvl>
    <w:lvl w:ilvl="8" w:tplc="01209164"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compat/>
  <w:rsids>
    <w:rsidRoot w:val="00A168AF"/>
    <w:rsid w:val="00017821"/>
    <w:rsid w:val="00153204"/>
    <w:rsid w:val="002444E3"/>
    <w:rsid w:val="00251F25"/>
    <w:rsid w:val="002649AB"/>
    <w:rsid w:val="00315379"/>
    <w:rsid w:val="004025AF"/>
    <w:rsid w:val="00471C11"/>
    <w:rsid w:val="004B0476"/>
    <w:rsid w:val="00796D2D"/>
    <w:rsid w:val="00882B20"/>
    <w:rsid w:val="008E52B3"/>
    <w:rsid w:val="008F441E"/>
    <w:rsid w:val="009B1485"/>
    <w:rsid w:val="009C60E2"/>
    <w:rsid w:val="009F3B7D"/>
    <w:rsid w:val="00A168AF"/>
    <w:rsid w:val="00A32A76"/>
    <w:rsid w:val="00A84815"/>
    <w:rsid w:val="00B4182D"/>
    <w:rsid w:val="00BF1942"/>
    <w:rsid w:val="00C4099E"/>
    <w:rsid w:val="00E02C8D"/>
    <w:rsid w:val="00F2359F"/>
    <w:rsid w:val="00F579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6D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168AF"/>
    <w:rPr>
      <w:color w:val="0000FF"/>
      <w:u w:val="single"/>
    </w:rPr>
  </w:style>
  <w:style w:type="paragraph" w:styleId="NormaleWeb">
    <w:name w:val="Normal (Web)"/>
    <w:basedOn w:val="Normale"/>
    <w:uiPriority w:val="99"/>
    <w:unhideWhenUsed/>
    <w:rsid w:val="00A168AF"/>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Paragrafoelenco">
    <w:name w:val="List Paragraph"/>
    <w:basedOn w:val="Normale"/>
    <w:uiPriority w:val="34"/>
    <w:qFormat/>
    <w:rsid w:val="004025AF"/>
    <w:pPr>
      <w:ind w:left="720"/>
      <w:contextualSpacing/>
    </w:pPr>
  </w:style>
  <w:style w:type="character" w:customStyle="1" w:styleId="google-src-text1">
    <w:name w:val="google-src-text1"/>
    <w:basedOn w:val="Carpredefinitoparagrafo"/>
    <w:rsid w:val="004025AF"/>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74864097">
      <w:bodyDiv w:val="1"/>
      <w:marLeft w:val="0"/>
      <w:marRight w:val="0"/>
      <w:marTop w:val="0"/>
      <w:marBottom w:val="0"/>
      <w:divBdr>
        <w:top w:val="none" w:sz="0" w:space="0" w:color="auto"/>
        <w:left w:val="none" w:sz="0" w:space="0" w:color="auto"/>
        <w:bottom w:val="none" w:sz="0" w:space="0" w:color="auto"/>
        <w:right w:val="none" w:sz="0" w:space="0" w:color="auto"/>
      </w:divBdr>
    </w:div>
    <w:div w:id="540094420">
      <w:bodyDiv w:val="1"/>
      <w:marLeft w:val="0"/>
      <w:marRight w:val="0"/>
      <w:marTop w:val="0"/>
      <w:marBottom w:val="0"/>
      <w:divBdr>
        <w:top w:val="none" w:sz="0" w:space="0" w:color="auto"/>
        <w:left w:val="none" w:sz="0" w:space="0" w:color="auto"/>
        <w:bottom w:val="none" w:sz="0" w:space="0" w:color="auto"/>
        <w:right w:val="none" w:sz="0" w:space="0" w:color="auto"/>
      </w:divBdr>
      <w:divsChild>
        <w:div w:id="718474967">
          <w:marLeft w:val="720"/>
          <w:marRight w:val="0"/>
          <w:marTop w:val="288"/>
          <w:marBottom w:val="0"/>
          <w:divBdr>
            <w:top w:val="none" w:sz="0" w:space="0" w:color="auto"/>
            <w:left w:val="none" w:sz="0" w:space="0" w:color="auto"/>
            <w:bottom w:val="none" w:sz="0" w:space="0" w:color="auto"/>
            <w:right w:val="none" w:sz="0" w:space="0" w:color="auto"/>
          </w:divBdr>
        </w:div>
        <w:div w:id="1626160085">
          <w:marLeft w:val="720"/>
          <w:marRight w:val="0"/>
          <w:marTop w:val="288"/>
          <w:marBottom w:val="0"/>
          <w:divBdr>
            <w:top w:val="none" w:sz="0" w:space="0" w:color="auto"/>
            <w:left w:val="none" w:sz="0" w:space="0" w:color="auto"/>
            <w:bottom w:val="none" w:sz="0" w:space="0" w:color="auto"/>
            <w:right w:val="none" w:sz="0" w:space="0" w:color="auto"/>
          </w:divBdr>
        </w:div>
        <w:div w:id="99225995">
          <w:marLeft w:val="720"/>
          <w:marRight w:val="0"/>
          <w:marTop w:val="288"/>
          <w:marBottom w:val="0"/>
          <w:divBdr>
            <w:top w:val="none" w:sz="0" w:space="0" w:color="auto"/>
            <w:left w:val="none" w:sz="0" w:space="0" w:color="auto"/>
            <w:bottom w:val="none" w:sz="0" w:space="0" w:color="auto"/>
            <w:right w:val="none" w:sz="0" w:space="0" w:color="auto"/>
          </w:divBdr>
        </w:div>
        <w:div w:id="231819452">
          <w:marLeft w:val="720"/>
          <w:marRight w:val="0"/>
          <w:marTop w:val="288"/>
          <w:marBottom w:val="0"/>
          <w:divBdr>
            <w:top w:val="none" w:sz="0" w:space="0" w:color="auto"/>
            <w:left w:val="none" w:sz="0" w:space="0" w:color="auto"/>
            <w:bottom w:val="none" w:sz="0" w:space="0" w:color="auto"/>
            <w:right w:val="none" w:sz="0" w:space="0" w:color="auto"/>
          </w:divBdr>
        </w:div>
        <w:div w:id="1966151692">
          <w:marLeft w:val="720"/>
          <w:marRight w:val="0"/>
          <w:marTop w:val="288"/>
          <w:marBottom w:val="0"/>
          <w:divBdr>
            <w:top w:val="none" w:sz="0" w:space="0" w:color="auto"/>
            <w:left w:val="none" w:sz="0" w:space="0" w:color="auto"/>
            <w:bottom w:val="none" w:sz="0" w:space="0" w:color="auto"/>
            <w:right w:val="none" w:sz="0" w:space="0" w:color="auto"/>
          </w:divBdr>
        </w:div>
      </w:divsChild>
    </w:div>
    <w:div w:id="767894616">
      <w:bodyDiv w:val="1"/>
      <w:marLeft w:val="0"/>
      <w:marRight w:val="0"/>
      <w:marTop w:val="0"/>
      <w:marBottom w:val="0"/>
      <w:divBdr>
        <w:top w:val="none" w:sz="0" w:space="0" w:color="auto"/>
        <w:left w:val="none" w:sz="0" w:space="0" w:color="auto"/>
        <w:bottom w:val="none" w:sz="0" w:space="0" w:color="auto"/>
        <w:right w:val="none" w:sz="0" w:space="0" w:color="auto"/>
      </w:divBdr>
    </w:div>
    <w:div w:id="1147043076">
      <w:bodyDiv w:val="1"/>
      <w:marLeft w:val="0"/>
      <w:marRight w:val="0"/>
      <w:marTop w:val="0"/>
      <w:marBottom w:val="0"/>
      <w:divBdr>
        <w:top w:val="none" w:sz="0" w:space="0" w:color="auto"/>
        <w:left w:val="none" w:sz="0" w:space="0" w:color="auto"/>
        <w:bottom w:val="none" w:sz="0" w:space="0" w:color="auto"/>
        <w:right w:val="none" w:sz="0" w:space="0" w:color="auto"/>
      </w:divBdr>
    </w:div>
    <w:div w:id="1229418249">
      <w:bodyDiv w:val="1"/>
      <w:marLeft w:val="0"/>
      <w:marRight w:val="0"/>
      <w:marTop w:val="0"/>
      <w:marBottom w:val="0"/>
      <w:divBdr>
        <w:top w:val="none" w:sz="0" w:space="0" w:color="auto"/>
        <w:left w:val="none" w:sz="0" w:space="0" w:color="auto"/>
        <w:bottom w:val="none" w:sz="0" w:space="0" w:color="auto"/>
        <w:right w:val="none" w:sz="0" w:space="0" w:color="auto"/>
      </w:divBdr>
      <w:divsChild>
        <w:div w:id="1587154877">
          <w:marLeft w:val="720"/>
          <w:marRight w:val="0"/>
          <w:marTop w:val="288"/>
          <w:marBottom w:val="0"/>
          <w:divBdr>
            <w:top w:val="none" w:sz="0" w:space="0" w:color="auto"/>
            <w:left w:val="none" w:sz="0" w:space="0" w:color="auto"/>
            <w:bottom w:val="none" w:sz="0" w:space="0" w:color="auto"/>
            <w:right w:val="none" w:sz="0" w:space="0" w:color="auto"/>
          </w:divBdr>
        </w:div>
        <w:div w:id="1441951276">
          <w:marLeft w:val="720"/>
          <w:marRight w:val="0"/>
          <w:marTop w:val="288"/>
          <w:marBottom w:val="0"/>
          <w:divBdr>
            <w:top w:val="none" w:sz="0" w:space="0" w:color="auto"/>
            <w:left w:val="none" w:sz="0" w:space="0" w:color="auto"/>
            <w:bottom w:val="none" w:sz="0" w:space="0" w:color="auto"/>
            <w:right w:val="none" w:sz="0" w:space="0" w:color="auto"/>
          </w:divBdr>
        </w:div>
        <w:div w:id="770203019">
          <w:marLeft w:val="720"/>
          <w:marRight w:val="0"/>
          <w:marTop w:val="288"/>
          <w:marBottom w:val="0"/>
          <w:divBdr>
            <w:top w:val="none" w:sz="0" w:space="0" w:color="auto"/>
            <w:left w:val="none" w:sz="0" w:space="0" w:color="auto"/>
            <w:bottom w:val="none" w:sz="0" w:space="0" w:color="auto"/>
            <w:right w:val="none" w:sz="0" w:space="0" w:color="auto"/>
          </w:divBdr>
        </w:div>
        <w:div w:id="1027751392">
          <w:marLeft w:val="720"/>
          <w:marRight w:val="0"/>
          <w:marTop w:val="288"/>
          <w:marBottom w:val="0"/>
          <w:divBdr>
            <w:top w:val="none" w:sz="0" w:space="0" w:color="auto"/>
            <w:left w:val="none" w:sz="0" w:space="0" w:color="auto"/>
            <w:bottom w:val="none" w:sz="0" w:space="0" w:color="auto"/>
            <w:right w:val="none" w:sz="0" w:space="0" w:color="auto"/>
          </w:divBdr>
        </w:div>
        <w:div w:id="1243030626">
          <w:marLeft w:val="720"/>
          <w:marRight w:val="0"/>
          <w:marTop w:val="28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chivio.invalsi.it/web-est/ormea/pagine/P020301.htm" TargetMode="External"/><Relationship Id="rId13" Type="http://schemas.openxmlformats.org/officeDocument/2006/relationships/hyperlink" Target="http://74.125.39.132/translate_c?hl=it&amp;sl=en&amp;u=http://www.nova.edu/ssss/QR/QR3-3/tellis2.html&amp;prev=/search%3Fq%3Dcase%2Bstudy%2Bstake%26hl%3Dit&amp;usg=ALkJrhhmO2ehnse_B46jhQaSezefl5ZSVg" TargetMode="External"/><Relationship Id="rId18" Type="http://schemas.openxmlformats.org/officeDocument/2006/relationships/hyperlink" Target="http://74.125.39.132/translate_c?hl=it&amp;sl=en&amp;u=http://www.nova.edu/ssss/QR/QR3-3/tellis2.html&amp;prev=/search%3Fq%3Dcase%2Bstudy%2Bstake%26hl%3Dit&amp;usg=ALkJrhhmO2ehnse_B46jhQaSezefl5ZSVg" TargetMode="External"/><Relationship Id="rId3" Type="http://schemas.openxmlformats.org/officeDocument/2006/relationships/settings" Target="settings.xml"/><Relationship Id="rId21" Type="http://schemas.openxmlformats.org/officeDocument/2006/relationships/hyperlink" Target="http://74.125.39.132/translate_c?hl=it&amp;sl=en&amp;u=http://www.nova.edu/ssss/QR/QR3-3/tellis2.html&amp;prev=/search%3Fq%3Dcase%2Bstudy%2Bstake%26hl%3Dit&amp;usg=ALkJrhhmO2ehnse_B46jhQaSezefl5ZSVg" TargetMode="External"/><Relationship Id="rId7" Type="http://schemas.openxmlformats.org/officeDocument/2006/relationships/hyperlink" Target="http://archivio.invalsi.it/web-est/ormea/pagine/P020301.htm" TargetMode="External"/><Relationship Id="rId12" Type="http://schemas.openxmlformats.org/officeDocument/2006/relationships/hyperlink" Target="http://74.125.39.132/translate_c?hl=it&amp;sl=en&amp;u=http://www.nova.edu/ssss/QR/QR3-3/tellis2.html&amp;prev=/search%3Fq%3Dcase%2Bstudy%2Bstake%26hl%3Dit&amp;usg=ALkJrhhmO2ehnse_B46jhQaSezefl5ZSVg" TargetMode="External"/><Relationship Id="rId17" Type="http://schemas.openxmlformats.org/officeDocument/2006/relationships/hyperlink" Target="http://74.125.39.132/translate_c?hl=it&amp;sl=en&amp;u=http://www.nova.edu/ssss/QR/QR3-3/tellis2.html&amp;prev=/search%3Fq%3Dcase%2Bstudy%2Bstake%26hl%3Dit&amp;usg=ALkJrhhmO2ehnse_B46jhQaSezefl5ZSVg" TargetMode="External"/><Relationship Id="rId2" Type="http://schemas.openxmlformats.org/officeDocument/2006/relationships/styles" Target="styles.xml"/><Relationship Id="rId16" Type="http://schemas.openxmlformats.org/officeDocument/2006/relationships/hyperlink" Target="http://74.125.39.132/translate_c?hl=it&amp;sl=en&amp;u=http://www.nova.edu/ssss/QR/QR3-3/tellis2.html&amp;prev=/search%3Fq%3Dcase%2Bstudy%2Bstake%26hl%3Dit&amp;usg=ALkJrhhmO2ehnse_B46jhQaSezefl5ZSVg" TargetMode="External"/><Relationship Id="rId20" Type="http://schemas.openxmlformats.org/officeDocument/2006/relationships/hyperlink" Target="http://74.125.39.132/translate_c?hl=it&amp;sl=en&amp;u=http://www.nova.edu/ssss/QR/QR3-3/tellis2.html&amp;prev=/search%3Fq%3Dcase%2Bstudy%2Bstake%26hl%3Dit&amp;usg=ALkJrhhmO2ehnse_B46jhQaSezefl5ZSVg" TargetMode="External"/><Relationship Id="rId1" Type="http://schemas.openxmlformats.org/officeDocument/2006/relationships/numbering" Target="numbering.xml"/><Relationship Id="rId6" Type="http://schemas.openxmlformats.org/officeDocument/2006/relationships/hyperlink" Target="http://archivio.invalsi.it/web-est/ormea/pagine/P020301.htm" TargetMode="External"/><Relationship Id="rId11" Type="http://schemas.openxmlformats.org/officeDocument/2006/relationships/hyperlink" Target="http://74.125.39.132/translate_c?hl=it&amp;sl=en&amp;u=http://www.nova.edu/ssss/QR/QR3-3/tellis2.html&amp;prev=/search%3Fq%3Dcase%2Bstudy%2Bstake%26hl%3Dit&amp;usg=ALkJrhhmO2ehnse_B46jhQaSezefl5ZSVg" TargetMode="External"/><Relationship Id="rId5" Type="http://schemas.openxmlformats.org/officeDocument/2006/relationships/hyperlink" Target="mailto:rossellagaretto@fastwebnet.it" TargetMode="External"/><Relationship Id="rId15" Type="http://schemas.openxmlformats.org/officeDocument/2006/relationships/hyperlink" Target="http://74.125.39.132/translate_c?hl=it&amp;sl=en&amp;u=http://www.nova.edu/ssss/QR/QR3-3/tellis2.html&amp;prev=/search%3Fq%3Dcase%2Bstudy%2Bstake%26hl%3Dit&amp;usg=ALkJrhhmO2ehnse_B46jhQaSezefl5ZSVg" TargetMode="External"/><Relationship Id="rId23" Type="http://schemas.openxmlformats.org/officeDocument/2006/relationships/theme" Target="theme/theme1.xml"/><Relationship Id="rId10" Type="http://schemas.openxmlformats.org/officeDocument/2006/relationships/hyperlink" Target="http://74.125.39.132/translate_c?hl=it&amp;sl=en&amp;u=http://www.nova.edu/ssss/QR/QR3-3/tellis2.html&amp;prev=/search%3Fq%3Dcase%2Bstudy%2Bstake%26hl%3Dit&amp;usg=ALkJrhhmO2ehnse_B46jhQaSezefl5ZSVg" TargetMode="External"/><Relationship Id="rId19" Type="http://schemas.openxmlformats.org/officeDocument/2006/relationships/hyperlink" Target="http://74.125.39.132/translate_c?hl=it&amp;sl=en&amp;u=http://www.nova.edu/ssss/QR/QR3-3/tellis2.html&amp;prev=/search%3Fq%3Dcase%2Bstudy%2Bstake%26hl%3Dit&amp;usg=ALkJrhhmO2ehnse_B46jhQaSezefl5ZSVg" TargetMode="External"/><Relationship Id="rId4" Type="http://schemas.openxmlformats.org/officeDocument/2006/relationships/webSettings" Target="webSettings.xml"/><Relationship Id="rId9" Type="http://schemas.openxmlformats.org/officeDocument/2006/relationships/hyperlink" Target="http://archivio.invalsi.it/web-est/ormea/pagine/P020301.htm" TargetMode="External"/><Relationship Id="rId14" Type="http://schemas.openxmlformats.org/officeDocument/2006/relationships/hyperlink" Target="http://74.125.39.132/translate_c?hl=it&amp;sl=en&amp;u=http://www.nova.edu/ssss/QR/QR3-3/tellis2.html&amp;prev=/search%3Fq%3Dcase%2Bstudy%2Bstake%26hl%3Dit&amp;usg=ALkJrhhmO2ehnse_B46jhQaSezefl5ZSVg"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1143</Words>
  <Characters>6554</Characters>
  <Application>Microsoft Office Word</Application>
  <DocSecurity>0</DocSecurity>
  <Lines>114</Lines>
  <Paragraphs>49</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Rossella</dc:creator>
  <cp:keywords/>
  <dc:description/>
  <cp:lastModifiedBy> Rossella</cp:lastModifiedBy>
  <cp:revision>7</cp:revision>
  <dcterms:created xsi:type="dcterms:W3CDTF">2009-04-01T07:56:00Z</dcterms:created>
  <dcterms:modified xsi:type="dcterms:W3CDTF">2009-04-01T08:32:00Z</dcterms:modified>
</cp:coreProperties>
</file>